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EA934" w14:textId="174636B1" w:rsidR="00767591" w:rsidRPr="00767591" w:rsidRDefault="00767591" w:rsidP="00F57B50">
      <w:pPr>
        <w:tabs>
          <w:tab w:val="right" w:pos="9900"/>
        </w:tabs>
        <w:kinsoku w:val="0"/>
        <w:overflowPunct w:val="0"/>
        <w:spacing w:after="0"/>
        <w:rPr>
          <w:rFonts w:ascii="Arial" w:hAnsi="Arial" w:cs="Arial"/>
          <w:b/>
          <w:bCs/>
        </w:rPr>
      </w:pPr>
      <w:bookmarkStart w:id="0" w:name="_GoBack"/>
      <w:r w:rsidRPr="00767591">
        <w:rPr>
          <w:rFonts w:ascii="Arial" w:hAnsi="Arial" w:cs="Arial"/>
          <w:b/>
          <w:bCs/>
        </w:rPr>
        <w:t xml:space="preserve">3GPP TSG RAN WG1 Meeting #AH1901    </w:t>
      </w:r>
      <w:r>
        <w:rPr>
          <w:rFonts w:ascii="Arial" w:hAnsi="Arial" w:cs="Arial"/>
          <w:b/>
          <w:bCs/>
        </w:rPr>
        <w:t xml:space="preserve">                                                                               </w:t>
      </w:r>
      <w:r w:rsidRPr="00767591">
        <w:rPr>
          <w:rFonts w:ascii="Arial" w:hAnsi="Arial" w:cs="Arial"/>
          <w:b/>
          <w:bCs/>
        </w:rPr>
        <w:t>R1-1</w:t>
      </w:r>
      <w:r w:rsidR="003415F1">
        <w:rPr>
          <w:rFonts w:ascii="Arial" w:hAnsi="Arial" w:cs="Arial"/>
          <w:b/>
          <w:bCs/>
        </w:rPr>
        <w:t>9</w:t>
      </w:r>
      <w:r w:rsidR="00E74E31">
        <w:rPr>
          <w:rFonts w:ascii="Arial" w:hAnsi="Arial" w:cs="Arial"/>
          <w:b/>
          <w:bCs/>
        </w:rPr>
        <w:t>00877</w:t>
      </w:r>
    </w:p>
    <w:p w14:paraId="473E18CA" w14:textId="77777777" w:rsidR="00767591" w:rsidRPr="00767591" w:rsidRDefault="00767591" w:rsidP="00F57B50">
      <w:pPr>
        <w:tabs>
          <w:tab w:val="right" w:pos="9900"/>
        </w:tabs>
        <w:kinsoku w:val="0"/>
        <w:overflowPunct w:val="0"/>
        <w:spacing w:after="0"/>
        <w:rPr>
          <w:rFonts w:ascii="Arial" w:hAnsi="Arial" w:cs="Arial"/>
          <w:b/>
          <w:bCs/>
        </w:rPr>
      </w:pPr>
      <w:r w:rsidRPr="00767591">
        <w:rPr>
          <w:rFonts w:ascii="Arial" w:hAnsi="Arial" w:cs="Arial"/>
          <w:b/>
          <w:bCs/>
        </w:rPr>
        <w:t>Taipei, Taiwan</w:t>
      </w:r>
    </w:p>
    <w:p w14:paraId="1F8136F3" w14:textId="3449E29D" w:rsidR="006361ED" w:rsidRPr="006361ED" w:rsidRDefault="00767591" w:rsidP="00F57B50">
      <w:pPr>
        <w:tabs>
          <w:tab w:val="right" w:pos="9900"/>
        </w:tabs>
        <w:kinsoku w:val="0"/>
        <w:overflowPunct w:val="0"/>
        <w:spacing w:after="0"/>
        <w:rPr>
          <w:rFonts w:ascii="Arial" w:hAnsi="Arial" w:cs="Arial"/>
          <w:b/>
          <w:bCs/>
        </w:rPr>
      </w:pPr>
      <w:r w:rsidRPr="00767591">
        <w:rPr>
          <w:rFonts w:ascii="Arial" w:hAnsi="Arial" w:cs="Arial"/>
          <w:b/>
          <w:bCs/>
        </w:rPr>
        <w:t xml:space="preserve">Jan. 21st – Jan. 25th, 2019 </w:t>
      </w:r>
      <w:r w:rsidR="006361ED" w:rsidRPr="006361ED">
        <w:rPr>
          <w:rFonts w:ascii="Arial" w:hAnsi="Arial" w:cs="Arial"/>
          <w:b/>
          <w:bCs/>
        </w:rPr>
        <w:t xml:space="preserve">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6D6744B"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767591">
        <w:rPr>
          <w:rFonts w:ascii="Arial" w:hAnsi="Arial" w:cs="Arial"/>
          <w:b/>
          <w:snapToGrid w:val="0"/>
        </w:rPr>
        <w:t>Wideband operation for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0CD36742" w14:textId="7694CF8B" w:rsidR="00DA1350" w:rsidRPr="002236FA" w:rsidRDefault="00DA1350" w:rsidP="00601374">
      <w:pPr>
        <w:kinsoku w:val="0"/>
        <w:overflowPunct w:val="0"/>
        <w:rPr>
          <w:szCs w:val="20"/>
        </w:rPr>
      </w:pPr>
      <w:r w:rsidRPr="002236FA">
        <w:rPr>
          <w:szCs w:val="20"/>
        </w:rPr>
        <w:t xml:space="preserve">In NR-U, the LBT may be performed in each </w:t>
      </w:r>
      <w:proofErr w:type="spellStart"/>
      <w:r w:rsidRPr="002236FA">
        <w:rPr>
          <w:szCs w:val="20"/>
        </w:rPr>
        <w:t>subband</w:t>
      </w:r>
      <w:proofErr w:type="spellEnd"/>
      <w:r w:rsidRPr="002236FA">
        <w:rPr>
          <w:szCs w:val="20"/>
        </w:rPr>
        <w:t xml:space="preserve"> with channel bandwidth of 20Mhz to have better coexistence with other nodes which may </w:t>
      </w:r>
      <w:r w:rsidR="007D7058">
        <w:rPr>
          <w:szCs w:val="20"/>
        </w:rPr>
        <w:t xml:space="preserve">be </w:t>
      </w:r>
      <w:r w:rsidRPr="002236FA">
        <w:rPr>
          <w:szCs w:val="20"/>
        </w:rPr>
        <w:t>operatin</w:t>
      </w:r>
      <w:r w:rsidR="007D7058">
        <w:rPr>
          <w:szCs w:val="20"/>
        </w:rPr>
        <w:t>g</w:t>
      </w:r>
      <w:r w:rsidRPr="002236FA">
        <w:rPr>
          <w:szCs w:val="20"/>
        </w:rPr>
        <w:t xml:space="preserve"> only at 20Mhz. Based on the LBT outcome, gNB may transmit on one channel or multiple channels. While CA is an effective approach to deal with mult</w:t>
      </w:r>
      <w:r w:rsidR="007D7058">
        <w:rPr>
          <w:szCs w:val="20"/>
        </w:rPr>
        <w:t>i</w:t>
      </w:r>
      <w:r w:rsidRPr="002236FA">
        <w:rPr>
          <w:szCs w:val="20"/>
        </w:rPr>
        <w:t xml:space="preserve">-channel transmission with multi-channel LBT, the wideband transmission with multi-channel LBT has been shown to reduce the system overhead and yield better system </w:t>
      </w:r>
      <w:r w:rsidR="00D77412" w:rsidRPr="00D77412">
        <w:rPr>
          <w:szCs w:val="20"/>
        </w:rPr>
        <w:t>performance</w:t>
      </w:r>
      <w:r w:rsidRPr="00D77412">
        <w:rPr>
          <w:szCs w:val="20"/>
        </w:rPr>
        <w:t>.</w:t>
      </w:r>
      <w:r w:rsidRPr="002236FA">
        <w:rPr>
          <w:szCs w:val="20"/>
        </w:rPr>
        <w:t xml:space="preserve"> </w:t>
      </w:r>
    </w:p>
    <w:p w14:paraId="252D126A" w14:textId="77777777" w:rsidR="00DA1350" w:rsidRPr="002236FA" w:rsidRDefault="00DA1350" w:rsidP="00601374">
      <w:pPr>
        <w:kinsoku w:val="0"/>
        <w:overflowPunct w:val="0"/>
        <w:rPr>
          <w:szCs w:val="20"/>
        </w:rPr>
      </w:pPr>
      <w:r w:rsidRPr="002236FA">
        <w:rPr>
          <w:szCs w:val="20"/>
        </w:rPr>
        <w:t>BWP concept has been introduced in NR wideband operation where UE can be configured with multiple BWPs:</w:t>
      </w:r>
    </w:p>
    <w:p w14:paraId="4D283244" w14:textId="77777777" w:rsidR="00DA1350" w:rsidRPr="002236FA" w:rsidRDefault="00DA1350" w:rsidP="00601374">
      <w:pPr>
        <w:numPr>
          <w:ilvl w:val="0"/>
          <w:numId w:val="35"/>
        </w:numPr>
        <w:kinsoku w:val="0"/>
        <w:overflowPunct w:val="0"/>
        <w:adjustRightInd w:val="0"/>
        <w:spacing w:after="60"/>
        <w:textAlignment w:val="baseline"/>
        <w:rPr>
          <w:szCs w:val="20"/>
        </w:rPr>
      </w:pPr>
      <w:r w:rsidRPr="002236FA">
        <w:rPr>
          <w:szCs w:val="20"/>
        </w:rPr>
        <w:t xml:space="preserve">In Rel-15, for a UE, there is </w:t>
      </w:r>
      <w:r w:rsidRPr="002236FA">
        <w:rPr>
          <w:bCs/>
          <w:szCs w:val="20"/>
        </w:rPr>
        <w:t>at most one active</w:t>
      </w:r>
      <w:r w:rsidRPr="002236FA">
        <w:rPr>
          <w:szCs w:val="20"/>
        </w:rPr>
        <w:t xml:space="preserve"> </w:t>
      </w:r>
      <w:r w:rsidRPr="002236FA">
        <w:rPr>
          <w:bCs/>
          <w:szCs w:val="20"/>
        </w:rPr>
        <w:t xml:space="preserve">DL BWP </w:t>
      </w:r>
      <w:r w:rsidRPr="002236FA">
        <w:rPr>
          <w:szCs w:val="20"/>
        </w:rPr>
        <w:t xml:space="preserve">and </w:t>
      </w:r>
      <w:r w:rsidRPr="002236FA">
        <w:rPr>
          <w:bCs/>
          <w:szCs w:val="20"/>
        </w:rPr>
        <w:t>at most one active</w:t>
      </w:r>
      <w:r w:rsidRPr="002236FA">
        <w:rPr>
          <w:szCs w:val="20"/>
        </w:rPr>
        <w:t xml:space="preserve"> </w:t>
      </w:r>
      <w:r w:rsidRPr="002236FA">
        <w:rPr>
          <w:bCs/>
          <w:szCs w:val="20"/>
        </w:rPr>
        <w:t>UL BWP</w:t>
      </w:r>
      <w:r w:rsidRPr="002236FA">
        <w:rPr>
          <w:b/>
          <w:bCs/>
          <w:szCs w:val="20"/>
        </w:rPr>
        <w:t xml:space="preserve"> </w:t>
      </w:r>
      <w:r w:rsidRPr="002236FA">
        <w:rPr>
          <w:szCs w:val="20"/>
        </w:rPr>
        <w:t>at a given time for a serving cell</w:t>
      </w:r>
    </w:p>
    <w:p w14:paraId="1A1D38AA" w14:textId="77777777" w:rsidR="00DA1350" w:rsidRPr="002236FA" w:rsidRDefault="00DA1350" w:rsidP="00601374">
      <w:pPr>
        <w:numPr>
          <w:ilvl w:val="0"/>
          <w:numId w:val="35"/>
        </w:numPr>
        <w:tabs>
          <w:tab w:val="clear" w:pos="720"/>
        </w:tabs>
        <w:kinsoku w:val="0"/>
        <w:overflowPunct w:val="0"/>
        <w:adjustRightInd w:val="0"/>
        <w:spacing w:after="60"/>
        <w:textAlignment w:val="baseline"/>
        <w:rPr>
          <w:szCs w:val="20"/>
        </w:rPr>
      </w:pPr>
      <w:r w:rsidRPr="002236FA">
        <w:rPr>
          <w:szCs w:val="20"/>
        </w:rPr>
        <w:t>A BWP consists of a group of contiguous PRBs</w:t>
      </w:r>
    </w:p>
    <w:p w14:paraId="6E13A30D" w14:textId="77777777" w:rsidR="00DA1350" w:rsidRPr="002236FA" w:rsidRDefault="00DA1350" w:rsidP="00601374">
      <w:pPr>
        <w:kinsoku w:val="0"/>
        <w:overflowPunct w:val="0"/>
        <w:rPr>
          <w:szCs w:val="20"/>
        </w:rPr>
      </w:pPr>
      <w:r w:rsidRPr="002236FA">
        <w:rPr>
          <w:szCs w:val="20"/>
        </w:rPr>
        <w:t>The NR BWP concept is motivated by at least three main scenarios:  Reduced UE BW capability, Load balancing within CC and UE power saving.</w:t>
      </w:r>
    </w:p>
    <w:p w14:paraId="02632D00" w14:textId="21FD3B4A" w:rsidR="00DA1350" w:rsidRDefault="00DA1350" w:rsidP="00601374">
      <w:pPr>
        <w:kinsoku w:val="0"/>
        <w:overflowPunct w:val="0"/>
        <w:rPr>
          <w:szCs w:val="20"/>
        </w:rPr>
      </w:pPr>
      <w:r w:rsidRPr="002236FA">
        <w:rPr>
          <w:szCs w:val="20"/>
        </w:rPr>
        <w:t>A few options have been proposed to extend BWP to the multi-channel transmission in NR-U:</w:t>
      </w:r>
    </w:p>
    <w:p w14:paraId="4485F3C3" w14:textId="77777777" w:rsidR="0094414E" w:rsidRDefault="0094414E" w:rsidP="0094414E">
      <w:pPr>
        <w:rPr>
          <w:rFonts w:eastAsia="Malgun Gothic"/>
          <w:kern w:val="0"/>
          <w:szCs w:val="22"/>
        </w:rPr>
      </w:pPr>
      <w:r>
        <w:rPr>
          <w:rFonts w:eastAsia="Malgun Gothic"/>
        </w:rPr>
        <w:t>For DL operation, the following options for BWP-based operation within a carrier with bandwidth larger than 20 MHz can be considered.</w:t>
      </w:r>
    </w:p>
    <w:p w14:paraId="61E55448" w14:textId="77777777" w:rsidR="0094414E" w:rsidRDefault="0094414E" w:rsidP="0094414E">
      <w:pPr>
        <w:pStyle w:val="B10"/>
        <w:numPr>
          <w:ilvl w:val="0"/>
          <w:numId w:val="46"/>
        </w:numPr>
        <w:spacing w:before="120"/>
        <w:rPr>
          <w:lang w:val="en-US"/>
        </w:rPr>
      </w:pPr>
      <w:r>
        <w:rPr>
          <w:lang w:val="en-US"/>
        </w:rPr>
        <w:t>Option 1a: Multiple BWPs configured, multiple BWPs activated, transmission of PDSCH on one or more BWPs</w:t>
      </w:r>
    </w:p>
    <w:p w14:paraId="35DF4332" w14:textId="77777777" w:rsidR="0094414E" w:rsidRDefault="0094414E" w:rsidP="0094414E">
      <w:pPr>
        <w:pStyle w:val="B10"/>
        <w:numPr>
          <w:ilvl w:val="0"/>
          <w:numId w:val="46"/>
        </w:numPr>
        <w:spacing w:before="120"/>
        <w:rPr>
          <w:lang w:val="en-US"/>
        </w:rPr>
      </w:pPr>
      <w:r>
        <w:rPr>
          <w:lang w:val="en-US"/>
        </w:rPr>
        <w:t>Option 1b: Multiple BWPs configured, multiple BWPs activated, transmission of PDSCH on single BWP</w:t>
      </w:r>
    </w:p>
    <w:p w14:paraId="5121A45D" w14:textId="77777777" w:rsidR="0094414E" w:rsidRDefault="0094414E" w:rsidP="0094414E">
      <w:pPr>
        <w:pStyle w:val="B10"/>
        <w:numPr>
          <w:ilvl w:val="0"/>
          <w:numId w:val="46"/>
        </w:numPr>
        <w:spacing w:before="120"/>
        <w:rPr>
          <w:lang w:val="en-US"/>
        </w:rPr>
      </w:pPr>
      <w:r>
        <w:rPr>
          <w:lang w:val="en-US"/>
        </w:rPr>
        <w:t>Option 2: Multiple BWPs can be configured, single BWP activated, gNB transmits PDSCH on a single BWP if CCA is successful at gNB for the whole BWP</w:t>
      </w:r>
    </w:p>
    <w:p w14:paraId="12AB5D67" w14:textId="77777777" w:rsidR="0094414E" w:rsidRDefault="0094414E" w:rsidP="0094414E">
      <w:pPr>
        <w:pStyle w:val="B10"/>
        <w:numPr>
          <w:ilvl w:val="0"/>
          <w:numId w:val="46"/>
        </w:numPr>
        <w:spacing w:before="120"/>
        <w:rPr>
          <w:lang w:val="en-US"/>
        </w:rPr>
      </w:pPr>
      <w:r>
        <w:rPr>
          <w:lang w:val="en-US"/>
        </w:rPr>
        <w:t>Option 3: Multiple BWPs can be configured, single BWP activated, gNB transmits PDSCH on parts or whole of single BWP where CCA is successful at gNB</w:t>
      </w:r>
    </w:p>
    <w:p w14:paraId="532AF52F" w14:textId="77777777" w:rsidR="0094414E" w:rsidRDefault="0094414E" w:rsidP="0094414E">
      <w:pPr>
        <w:rPr>
          <w:rFonts w:eastAsia="Malgun Gothic"/>
        </w:rPr>
      </w:pPr>
      <w:r>
        <w:t>For UL operation, the following options for BWP-based operation within a carrier with bandwidth larger than 20 MHz can be considered.</w:t>
      </w:r>
    </w:p>
    <w:p w14:paraId="320CF1D4" w14:textId="77777777" w:rsidR="0094414E" w:rsidRDefault="0094414E" w:rsidP="0094414E">
      <w:pPr>
        <w:pStyle w:val="B10"/>
        <w:numPr>
          <w:ilvl w:val="0"/>
          <w:numId w:val="46"/>
        </w:numPr>
        <w:spacing w:before="120"/>
        <w:rPr>
          <w:lang w:val="en-US"/>
        </w:rPr>
      </w:pPr>
      <w:r>
        <w:rPr>
          <w:lang w:val="en-US"/>
        </w:rPr>
        <w:t>Option 1a: Multiple BWPs configured, multiple BWPs activated, transmission of PUSCH on one or more BWPs</w:t>
      </w:r>
    </w:p>
    <w:p w14:paraId="35A61F1E" w14:textId="77777777" w:rsidR="0094414E" w:rsidRDefault="0094414E" w:rsidP="0094414E">
      <w:pPr>
        <w:pStyle w:val="B10"/>
        <w:numPr>
          <w:ilvl w:val="0"/>
          <w:numId w:val="46"/>
        </w:numPr>
        <w:spacing w:before="120"/>
        <w:rPr>
          <w:lang w:val="en-US"/>
        </w:rPr>
      </w:pPr>
      <w:r>
        <w:rPr>
          <w:lang w:val="en-US"/>
        </w:rPr>
        <w:t>Option 1b: Multiple BWPs configured, multiple BWPs activated, transmission of PUSCH on single BWP</w:t>
      </w:r>
    </w:p>
    <w:p w14:paraId="41049837" w14:textId="77777777" w:rsidR="0094414E" w:rsidRDefault="0094414E" w:rsidP="0094414E">
      <w:pPr>
        <w:pStyle w:val="B10"/>
        <w:numPr>
          <w:ilvl w:val="0"/>
          <w:numId w:val="46"/>
        </w:numPr>
        <w:spacing w:before="120"/>
        <w:rPr>
          <w:lang w:val="en-US"/>
        </w:rPr>
      </w:pPr>
      <w:r>
        <w:rPr>
          <w:lang w:val="en-US"/>
        </w:rPr>
        <w:t>Option 2: Multiple BWPs can be configured, single BWP activated, UE transmits PUSCH on a single BWP if CCA is successful at UE for the whole BWP</w:t>
      </w:r>
    </w:p>
    <w:p w14:paraId="68505968" w14:textId="77777777" w:rsidR="0094414E" w:rsidRDefault="0094414E" w:rsidP="0094414E">
      <w:pPr>
        <w:pStyle w:val="B10"/>
        <w:numPr>
          <w:ilvl w:val="0"/>
          <w:numId w:val="46"/>
        </w:numPr>
        <w:spacing w:before="120"/>
        <w:rPr>
          <w:lang w:val="en-US"/>
        </w:rPr>
      </w:pPr>
      <w:r>
        <w:rPr>
          <w:lang w:val="en-US"/>
        </w:rPr>
        <w:t>Option 3: Multiple BWPs can be configured, single BWP activated, UE transmits PUSCH on parts or whole of single BWP where CCA is successful at UE</w:t>
      </w:r>
    </w:p>
    <w:p w14:paraId="3E45A4AB" w14:textId="16149CB8" w:rsidR="00835048" w:rsidRDefault="00DA1350" w:rsidP="00601374">
      <w:pPr>
        <w:kinsoku w:val="0"/>
        <w:overflowPunct w:val="0"/>
        <w:rPr>
          <w:szCs w:val="20"/>
        </w:rPr>
      </w:pPr>
      <w:r w:rsidRPr="002236FA">
        <w:rPr>
          <w:szCs w:val="20"/>
        </w:rPr>
        <w:t xml:space="preserve">According to RAN4, the BWP switching delay can be in a range of [400us, 600us, 950us, 2000us] depending on the switching scenario (whether there is center frequency change and/or numerology change) and UE capability (type 1 or type 2).  As we can see, even the fast BWP switching involves 400us delay. </w:t>
      </w:r>
      <w:r w:rsidR="0094414E">
        <w:rPr>
          <w:szCs w:val="20"/>
        </w:rPr>
        <w:t>Introducing LBT dependent BWP switching will introduce extra overhead and additional chance to los</w:t>
      </w:r>
      <w:r w:rsidR="007D7058">
        <w:rPr>
          <w:szCs w:val="20"/>
        </w:rPr>
        <w:t>e</w:t>
      </w:r>
      <w:r w:rsidR="0094414E">
        <w:rPr>
          <w:szCs w:val="20"/>
        </w:rPr>
        <w:t xml:space="preserve"> the channel occupancy. </w:t>
      </w:r>
    </w:p>
    <w:p w14:paraId="0E0BFDDD" w14:textId="19705DB5" w:rsidR="00601374" w:rsidRDefault="00835048" w:rsidP="00601374">
      <w:pPr>
        <w:kinsoku w:val="0"/>
        <w:overflowPunct w:val="0"/>
        <w:rPr>
          <w:szCs w:val="20"/>
        </w:rPr>
      </w:pPr>
      <w:r>
        <w:rPr>
          <w:szCs w:val="20"/>
        </w:rPr>
        <w:lastRenderedPageBreak/>
        <w:t>Rel.15 NR can have multiple BWPs configured, but only one is active at a time. Though it is possible to change the system to support multiple active BWPs, this involves some fundamental changes for RAN2 spec and functionality-wise, may not be more than what Option 3 can support.</w:t>
      </w:r>
    </w:p>
    <w:p w14:paraId="1DE81FE8" w14:textId="002CAD35" w:rsidR="00DA1350" w:rsidRPr="00DF0720" w:rsidRDefault="00DA1350" w:rsidP="00601374">
      <w:pPr>
        <w:kinsoku w:val="0"/>
        <w:overflowPunct w:val="0"/>
        <w:rPr>
          <w:b/>
          <w:lang w:eastAsia="en-US"/>
        </w:rPr>
      </w:pPr>
      <w:bookmarkStart w:id="1" w:name="p13"/>
      <w:bookmarkStart w:id="2" w:name="p1"/>
      <w:r w:rsidRPr="00601374">
        <w:rPr>
          <w:b/>
          <w:snapToGrid w:val="0"/>
          <w:kern w:val="0"/>
          <w:szCs w:val="20"/>
          <w:lang w:val="en-GB" w:eastAsia="en-US"/>
        </w:rPr>
        <w:t xml:space="preserve">Proposal </w:t>
      </w:r>
      <w:r w:rsidRPr="00601374">
        <w:rPr>
          <w:b/>
          <w:snapToGrid w:val="0"/>
          <w:kern w:val="0"/>
          <w:szCs w:val="20"/>
          <w:lang w:val="en-GB" w:eastAsia="en-US"/>
        </w:rPr>
        <w:fldChar w:fldCharType="begin"/>
      </w:r>
      <w:r w:rsidRPr="00601374">
        <w:rPr>
          <w:b/>
          <w:snapToGrid w:val="0"/>
          <w:kern w:val="0"/>
          <w:szCs w:val="20"/>
          <w:lang w:val="en-GB" w:eastAsia="en-US"/>
        </w:rPr>
        <w:instrText xml:space="preserve"> seq prop </w:instrText>
      </w:r>
      <w:r w:rsidRPr="00601374">
        <w:rPr>
          <w:b/>
          <w:snapToGrid w:val="0"/>
          <w:kern w:val="0"/>
          <w:szCs w:val="20"/>
          <w:lang w:val="en-GB" w:eastAsia="en-US"/>
        </w:rPr>
        <w:fldChar w:fldCharType="separate"/>
      </w:r>
      <w:r w:rsidR="00F57B50">
        <w:rPr>
          <w:b/>
          <w:noProof/>
          <w:snapToGrid w:val="0"/>
          <w:kern w:val="0"/>
          <w:szCs w:val="20"/>
          <w:lang w:val="en-GB" w:eastAsia="en-US"/>
        </w:rPr>
        <w:t>1</w:t>
      </w:r>
      <w:r w:rsidRPr="00601374">
        <w:rPr>
          <w:b/>
          <w:snapToGrid w:val="0"/>
          <w:kern w:val="0"/>
          <w:szCs w:val="20"/>
          <w:lang w:val="en-GB" w:eastAsia="en-US"/>
        </w:rPr>
        <w:fldChar w:fldCharType="end"/>
      </w:r>
      <w:r w:rsidRPr="00601374">
        <w:rPr>
          <w:b/>
          <w:snapToGrid w:val="0"/>
          <w:kern w:val="0"/>
          <w:szCs w:val="20"/>
          <w:lang w:val="en-GB" w:eastAsia="en-US"/>
        </w:rPr>
        <w:t xml:space="preserve">: </w:t>
      </w:r>
      <w:r w:rsidR="00601374" w:rsidRPr="00601374">
        <w:rPr>
          <w:b/>
          <w:lang w:eastAsia="en-US"/>
        </w:rPr>
        <w:t xml:space="preserve">NR-U supports </w:t>
      </w:r>
      <w:r w:rsidR="000F7E65">
        <w:rPr>
          <w:b/>
          <w:lang w:eastAsia="en-US"/>
        </w:rPr>
        <w:t xml:space="preserve">wideband operation </w:t>
      </w:r>
      <w:r w:rsidR="0094414E">
        <w:rPr>
          <w:b/>
          <w:lang w:eastAsia="en-US"/>
        </w:rPr>
        <w:t xml:space="preserve">by following Rel.15 NR behavior, </w:t>
      </w:r>
      <w:r w:rsidR="00C918EC">
        <w:rPr>
          <w:b/>
          <w:lang w:eastAsia="en-US"/>
        </w:rPr>
        <w:t>where m</w:t>
      </w:r>
      <w:r w:rsidR="000F7E65" w:rsidRPr="00DF0720">
        <w:rPr>
          <w:b/>
          <w:lang w:eastAsia="en-US"/>
        </w:rPr>
        <w:t>ultiple BWPs can be configu</w:t>
      </w:r>
      <w:r w:rsidR="002F1063">
        <w:rPr>
          <w:b/>
          <w:lang w:eastAsia="en-US"/>
        </w:rPr>
        <w:t>r</w:t>
      </w:r>
      <w:r w:rsidR="000F7E65" w:rsidRPr="00DF0720">
        <w:rPr>
          <w:b/>
          <w:lang w:eastAsia="en-US"/>
        </w:rPr>
        <w:t xml:space="preserve">ed, </w:t>
      </w:r>
      <w:r w:rsidR="0094414E">
        <w:rPr>
          <w:b/>
          <w:lang w:eastAsia="en-US"/>
        </w:rPr>
        <w:t xml:space="preserve">but </w:t>
      </w:r>
      <w:r w:rsidR="00C918EC">
        <w:rPr>
          <w:b/>
          <w:lang w:eastAsia="en-US"/>
        </w:rPr>
        <w:t xml:space="preserve">only a </w:t>
      </w:r>
      <w:r w:rsidR="000F7E65" w:rsidRPr="00DF0720">
        <w:rPr>
          <w:b/>
          <w:lang w:eastAsia="en-US"/>
        </w:rPr>
        <w:t xml:space="preserve">single BWP </w:t>
      </w:r>
      <w:r w:rsidR="00C918EC">
        <w:rPr>
          <w:b/>
          <w:lang w:eastAsia="en-US"/>
        </w:rPr>
        <w:t xml:space="preserve">can be </w:t>
      </w:r>
      <w:r w:rsidR="000F7E65" w:rsidRPr="00DF0720">
        <w:rPr>
          <w:b/>
          <w:lang w:eastAsia="en-US"/>
        </w:rPr>
        <w:t>activated</w:t>
      </w:r>
    </w:p>
    <w:bookmarkEnd w:id="1"/>
    <w:bookmarkEnd w:id="2"/>
    <w:p w14:paraId="4BE62D3E" w14:textId="713BFD21" w:rsidR="006C349A" w:rsidRPr="006C349A" w:rsidRDefault="006C349A" w:rsidP="006C349A">
      <w:pPr>
        <w:pStyle w:val="Heading1"/>
        <w:kinsoku w:val="0"/>
        <w:spacing w:after="0"/>
      </w:pPr>
      <w:r>
        <w:t>DL</w:t>
      </w:r>
      <w:r w:rsidR="0094414E">
        <w:t xml:space="preserve"> wideband BWP operation</w:t>
      </w:r>
    </w:p>
    <w:p w14:paraId="38E00F7D" w14:textId="7358F0EF" w:rsidR="006C349A" w:rsidRDefault="00835048" w:rsidP="006C349A">
      <w:pPr>
        <w:rPr>
          <w:lang w:val="en-GB" w:eastAsia="en-US"/>
        </w:rPr>
      </w:pPr>
      <w:r>
        <w:rPr>
          <w:szCs w:val="20"/>
        </w:rPr>
        <w:t xml:space="preserve">For DL operation, both option 2 and option 3 support a single active wideband BWP covering multiple 20MHz </w:t>
      </w:r>
      <w:proofErr w:type="spellStart"/>
      <w:r>
        <w:rPr>
          <w:szCs w:val="20"/>
        </w:rPr>
        <w:t>subbands</w:t>
      </w:r>
      <w:proofErr w:type="spellEnd"/>
      <w:r>
        <w:rPr>
          <w:szCs w:val="20"/>
        </w:rPr>
        <w:t>. The difference is option 2 restrict</w:t>
      </w:r>
      <w:r w:rsidR="007D7058">
        <w:rPr>
          <w:szCs w:val="20"/>
        </w:rPr>
        <w:t>s</w:t>
      </w:r>
      <w:r>
        <w:rPr>
          <w:szCs w:val="20"/>
        </w:rPr>
        <w:t xml:space="preserve"> the usage of the BWP </w:t>
      </w:r>
      <w:r w:rsidR="007D7058">
        <w:rPr>
          <w:szCs w:val="20"/>
        </w:rPr>
        <w:t xml:space="preserve">to </w:t>
      </w:r>
      <w:r>
        <w:rPr>
          <w:szCs w:val="20"/>
        </w:rPr>
        <w:t xml:space="preserve">only when all </w:t>
      </w:r>
      <w:proofErr w:type="spellStart"/>
      <w:r>
        <w:rPr>
          <w:szCs w:val="20"/>
        </w:rPr>
        <w:t>subbands</w:t>
      </w:r>
      <w:proofErr w:type="spellEnd"/>
      <w:r>
        <w:rPr>
          <w:szCs w:val="20"/>
        </w:rPr>
        <w:t xml:space="preserve"> pass LBT. Though this </w:t>
      </w:r>
      <w:r w:rsidR="00BC3E2F">
        <w:rPr>
          <w:szCs w:val="20"/>
        </w:rPr>
        <w:t xml:space="preserve">behavior leads to simpler design and easier </w:t>
      </w:r>
      <w:r>
        <w:rPr>
          <w:szCs w:val="20"/>
        </w:rPr>
        <w:t>implement</w:t>
      </w:r>
      <w:r w:rsidR="007D7058">
        <w:rPr>
          <w:szCs w:val="20"/>
        </w:rPr>
        <w:t>ation</w:t>
      </w:r>
      <w:r>
        <w:rPr>
          <w:szCs w:val="20"/>
        </w:rPr>
        <w:t>, we believe it int</w:t>
      </w:r>
      <w:r w:rsidR="00BC3E2F">
        <w:rPr>
          <w:szCs w:val="20"/>
        </w:rPr>
        <w:t>roduces more restrictions</w:t>
      </w:r>
      <w:r>
        <w:rPr>
          <w:szCs w:val="20"/>
        </w:rPr>
        <w:t xml:space="preserve"> compare</w:t>
      </w:r>
      <w:r w:rsidR="00BC3E2F">
        <w:rPr>
          <w:szCs w:val="20"/>
        </w:rPr>
        <w:t>d</w:t>
      </w:r>
      <w:r>
        <w:rPr>
          <w:szCs w:val="20"/>
        </w:rPr>
        <w:t xml:space="preserve"> to Wi</w:t>
      </w:r>
      <w:r w:rsidR="007D7058">
        <w:rPr>
          <w:szCs w:val="20"/>
        </w:rPr>
        <w:t>-</w:t>
      </w:r>
      <w:r>
        <w:rPr>
          <w:szCs w:val="20"/>
        </w:rPr>
        <w:t>Fi, and will lead to compet</w:t>
      </w:r>
      <w:r w:rsidR="00BC3E2F">
        <w:rPr>
          <w:szCs w:val="20"/>
        </w:rPr>
        <w:t>itive disadvantage. Also note that Option 2 is a special case of Option 3 and can be a gNB implementation choice.</w:t>
      </w:r>
    </w:p>
    <w:p w14:paraId="1ED4D572" w14:textId="450996B3" w:rsidR="00787477" w:rsidRPr="00787477" w:rsidRDefault="00787477" w:rsidP="00787477">
      <w:pPr>
        <w:rPr>
          <w:b/>
          <w:lang w:val="en-GB" w:eastAsia="en-US"/>
        </w:rPr>
      </w:pPr>
      <w:bookmarkStart w:id="3" w:name="p2"/>
      <w:r w:rsidRPr="00787477">
        <w:rPr>
          <w:b/>
          <w:lang w:val="en-GB" w:eastAsia="en-US"/>
        </w:rPr>
        <w:t>Proposal</w:t>
      </w:r>
      <w:r w:rsidR="0094414E">
        <w:rPr>
          <w:b/>
          <w:lang w:val="en-GB" w:eastAsia="en-US"/>
        </w:rPr>
        <w:t xml:space="preserve"> </w:t>
      </w:r>
      <w:r w:rsidR="0094414E" w:rsidRPr="00601374">
        <w:rPr>
          <w:b/>
          <w:snapToGrid w:val="0"/>
          <w:kern w:val="0"/>
          <w:szCs w:val="20"/>
          <w:lang w:val="en-GB" w:eastAsia="en-US"/>
        </w:rPr>
        <w:fldChar w:fldCharType="begin"/>
      </w:r>
      <w:r w:rsidR="0094414E" w:rsidRPr="00601374">
        <w:rPr>
          <w:b/>
          <w:snapToGrid w:val="0"/>
          <w:kern w:val="0"/>
          <w:szCs w:val="20"/>
          <w:lang w:val="en-GB" w:eastAsia="en-US"/>
        </w:rPr>
        <w:instrText xml:space="preserve"> seq prop </w:instrText>
      </w:r>
      <w:r w:rsidR="0094414E" w:rsidRPr="00601374">
        <w:rPr>
          <w:b/>
          <w:snapToGrid w:val="0"/>
          <w:kern w:val="0"/>
          <w:szCs w:val="20"/>
          <w:lang w:val="en-GB" w:eastAsia="en-US"/>
        </w:rPr>
        <w:fldChar w:fldCharType="separate"/>
      </w:r>
      <w:r w:rsidR="00F57B50">
        <w:rPr>
          <w:b/>
          <w:noProof/>
          <w:snapToGrid w:val="0"/>
          <w:kern w:val="0"/>
          <w:szCs w:val="20"/>
          <w:lang w:val="en-GB" w:eastAsia="en-US"/>
        </w:rPr>
        <w:t>2</w:t>
      </w:r>
      <w:r w:rsidR="0094414E" w:rsidRPr="00601374">
        <w:rPr>
          <w:b/>
          <w:snapToGrid w:val="0"/>
          <w:kern w:val="0"/>
          <w:szCs w:val="20"/>
          <w:lang w:val="en-GB" w:eastAsia="en-US"/>
        </w:rPr>
        <w:fldChar w:fldCharType="end"/>
      </w:r>
      <w:r w:rsidRPr="00787477">
        <w:rPr>
          <w:b/>
          <w:lang w:val="en-GB" w:eastAsia="en-US"/>
        </w:rPr>
        <w:t>: NR-U supports Option 3 for DL wideband BWP operation, which covers Option 2 as a gNB implementation choice.</w:t>
      </w:r>
    </w:p>
    <w:bookmarkEnd w:id="3"/>
    <w:p w14:paraId="12CA0228" w14:textId="62338371" w:rsidR="00BC3E2F" w:rsidRDefault="00BC3E2F">
      <w:pPr>
        <w:rPr>
          <w:lang w:val="en-GB" w:eastAsia="en-US"/>
        </w:rPr>
      </w:pPr>
      <w:r>
        <w:rPr>
          <w:lang w:val="en-GB" w:eastAsia="en-US"/>
        </w:rPr>
        <w:t xml:space="preserve">Within Option 3, we will need to further decide if non-adjacent </w:t>
      </w:r>
      <w:proofErr w:type="spellStart"/>
      <w:r>
        <w:rPr>
          <w:lang w:val="en-GB" w:eastAsia="en-US"/>
        </w:rPr>
        <w:t>subbands</w:t>
      </w:r>
      <w:proofErr w:type="spellEnd"/>
      <w:r>
        <w:rPr>
          <w:lang w:val="en-GB" w:eastAsia="en-US"/>
        </w:rPr>
        <w:t xml:space="preserve"> can be used together, or only adjacent </w:t>
      </w:r>
      <w:proofErr w:type="spellStart"/>
      <w:r>
        <w:rPr>
          <w:lang w:val="en-GB" w:eastAsia="en-US"/>
        </w:rPr>
        <w:t>subbands</w:t>
      </w:r>
      <w:proofErr w:type="spellEnd"/>
      <w:r>
        <w:rPr>
          <w:lang w:val="en-GB" w:eastAsia="en-US"/>
        </w:rPr>
        <w:t xml:space="preserve"> can be used together in a COT. </w:t>
      </w:r>
    </w:p>
    <w:p w14:paraId="48EB2B3C" w14:textId="04CF272D" w:rsidR="00B930BC" w:rsidRPr="00D77412" w:rsidRDefault="00BC3E2F">
      <w:pPr>
        <w:rPr>
          <w:b/>
          <w:lang w:val="en-GB" w:eastAsia="en-US"/>
        </w:rPr>
      </w:pPr>
      <w:bookmarkStart w:id="4" w:name="p3"/>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F57B50">
        <w:rPr>
          <w:b/>
          <w:noProof/>
          <w:lang w:val="en-GB" w:eastAsia="en-US"/>
        </w:rPr>
        <w:t>3</w:t>
      </w:r>
      <w:r w:rsidRPr="00D77412">
        <w:rPr>
          <w:b/>
          <w:lang w:val="en-GB" w:eastAsia="en-US"/>
        </w:rPr>
        <w:fldChar w:fldCharType="end"/>
      </w:r>
      <w:r w:rsidRPr="00D77412">
        <w:rPr>
          <w:b/>
          <w:lang w:val="en-GB" w:eastAsia="en-US"/>
        </w:rPr>
        <w:t xml:space="preserve">: Further study if non-adjacent </w:t>
      </w:r>
      <w:proofErr w:type="spellStart"/>
      <w:r w:rsidRPr="00D77412">
        <w:rPr>
          <w:b/>
          <w:lang w:val="en-GB" w:eastAsia="en-US"/>
        </w:rPr>
        <w:t>subbands</w:t>
      </w:r>
      <w:proofErr w:type="spellEnd"/>
      <w:r w:rsidRPr="00D77412">
        <w:rPr>
          <w:b/>
          <w:lang w:val="en-GB" w:eastAsia="en-US"/>
        </w:rPr>
        <w:t xml:space="preserve"> can be used in an active BWP in a COT.</w:t>
      </w:r>
    </w:p>
    <w:bookmarkEnd w:id="4"/>
    <w:p w14:paraId="7889C52B" w14:textId="7F4CB39D" w:rsidR="00BC3E2F" w:rsidRDefault="00BC3E2F">
      <w:pPr>
        <w:rPr>
          <w:lang w:val="en-GB" w:eastAsia="en-US"/>
        </w:rPr>
      </w:pPr>
      <w:r>
        <w:rPr>
          <w:lang w:val="en-GB" w:eastAsia="en-US"/>
        </w:rPr>
        <w:t xml:space="preserve">Option 3 is certainly more complex than option 2, and at least the following </w:t>
      </w:r>
      <w:proofErr w:type="gramStart"/>
      <w:r>
        <w:rPr>
          <w:lang w:val="en-GB" w:eastAsia="en-US"/>
        </w:rPr>
        <w:t>has to</w:t>
      </w:r>
      <w:proofErr w:type="gramEnd"/>
      <w:r>
        <w:rPr>
          <w:lang w:val="en-GB" w:eastAsia="en-US"/>
        </w:rPr>
        <w:t xml:space="preserve"> be considered:</w:t>
      </w:r>
    </w:p>
    <w:p w14:paraId="60639F85" w14:textId="1C1EBDDE" w:rsidR="00BC3E2F" w:rsidRDefault="00BC3E2F" w:rsidP="00D77412">
      <w:pPr>
        <w:pStyle w:val="ListParagraph"/>
        <w:numPr>
          <w:ilvl w:val="0"/>
          <w:numId w:val="46"/>
        </w:numPr>
        <w:ind w:leftChars="0"/>
        <w:rPr>
          <w:lang w:val="en-GB" w:eastAsia="en-US"/>
        </w:rPr>
      </w:pPr>
      <w:r>
        <w:rPr>
          <w:lang w:val="en-GB" w:eastAsia="en-US"/>
        </w:rPr>
        <w:t>How to monitor the coreset</w:t>
      </w:r>
    </w:p>
    <w:p w14:paraId="6266B787" w14:textId="40E74DCF" w:rsidR="00BC3E2F" w:rsidRDefault="00BC3E2F" w:rsidP="00D77412">
      <w:pPr>
        <w:pStyle w:val="ListParagraph"/>
        <w:numPr>
          <w:ilvl w:val="0"/>
          <w:numId w:val="46"/>
        </w:numPr>
        <w:ind w:leftChars="0"/>
        <w:rPr>
          <w:lang w:val="en-GB" w:eastAsia="en-US"/>
        </w:rPr>
      </w:pPr>
      <w:r>
        <w:rPr>
          <w:lang w:val="en-GB" w:eastAsia="en-US"/>
        </w:rPr>
        <w:t>How to transmit PDSCH</w:t>
      </w:r>
    </w:p>
    <w:p w14:paraId="04A0C310" w14:textId="7B608F75" w:rsidR="001B7DFF" w:rsidRPr="007D7058" w:rsidRDefault="001B7DFF" w:rsidP="00D77412">
      <w:pPr>
        <w:pStyle w:val="ListParagraph"/>
        <w:numPr>
          <w:ilvl w:val="0"/>
          <w:numId w:val="46"/>
        </w:numPr>
        <w:ind w:leftChars="0"/>
        <w:rPr>
          <w:lang w:val="en-GB" w:eastAsia="en-US"/>
        </w:rPr>
      </w:pPr>
      <w:proofErr w:type="spellStart"/>
      <w:r>
        <w:rPr>
          <w:lang w:val="en-GB" w:eastAsia="en-US"/>
        </w:rPr>
        <w:t>Subband</w:t>
      </w:r>
      <w:proofErr w:type="spellEnd"/>
      <w:r>
        <w:rPr>
          <w:lang w:val="en-GB" w:eastAsia="en-US"/>
        </w:rPr>
        <w:t xml:space="preserve"> usage indication</w:t>
      </w:r>
    </w:p>
    <w:p w14:paraId="4970E141" w14:textId="7DF5B5CB" w:rsidR="002B2682" w:rsidRDefault="00BC3E2F">
      <w:pPr>
        <w:rPr>
          <w:lang w:val="en-GB" w:eastAsia="en-US"/>
        </w:rPr>
      </w:pPr>
      <w:r>
        <w:rPr>
          <w:lang w:val="en-GB" w:eastAsia="en-US"/>
        </w:rPr>
        <w:t xml:space="preserve">For coreset monitoring for Option 3, the requirement is, the UE can be schedulable if a subset of </w:t>
      </w:r>
      <w:proofErr w:type="spellStart"/>
      <w:r>
        <w:rPr>
          <w:lang w:val="en-GB" w:eastAsia="en-US"/>
        </w:rPr>
        <w:t>subbands</w:t>
      </w:r>
      <w:proofErr w:type="spellEnd"/>
      <w:r>
        <w:rPr>
          <w:lang w:val="en-GB" w:eastAsia="en-US"/>
        </w:rPr>
        <w:t xml:space="preserve"> in the BWP pass LBT. Note that before LBT, </w:t>
      </w:r>
      <w:r w:rsidR="004D1DB8">
        <w:rPr>
          <w:lang w:val="en-GB" w:eastAsia="en-US"/>
        </w:rPr>
        <w:t xml:space="preserve">the gNB does not know which </w:t>
      </w:r>
      <w:proofErr w:type="spellStart"/>
      <w:r w:rsidR="004D1DB8">
        <w:rPr>
          <w:lang w:val="en-GB" w:eastAsia="en-US"/>
        </w:rPr>
        <w:t>subband</w:t>
      </w:r>
      <w:proofErr w:type="spellEnd"/>
      <w:r w:rsidR="004D1DB8">
        <w:rPr>
          <w:lang w:val="en-GB" w:eastAsia="en-US"/>
        </w:rPr>
        <w:t xml:space="preserve">(s) can be used in the COT, and UE does not know which </w:t>
      </w:r>
      <w:proofErr w:type="spellStart"/>
      <w:r w:rsidR="004D1DB8">
        <w:rPr>
          <w:lang w:val="en-GB" w:eastAsia="en-US"/>
        </w:rPr>
        <w:t>subband</w:t>
      </w:r>
      <w:proofErr w:type="spellEnd"/>
      <w:r w:rsidR="004D1DB8">
        <w:rPr>
          <w:lang w:val="en-GB" w:eastAsia="en-US"/>
        </w:rPr>
        <w:t xml:space="preserve">(s) will be active and carry PDCCH as well. </w:t>
      </w:r>
      <w:r w:rsidR="000967DC">
        <w:rPr>
          <w:lang w:val="en-GB" w:eastAsia="en-US"/>
        </w:rPr>
        <w:t>A</w:t>
      </w:r>
      <w:r w:rsidR="002B2682">
        <w:rPr>
          <w:lang w:val="en-GB" w:eastAsia="en-US"/>
        </w:rPr>
        <w:t xml:space="preserve"> simple solution is to</w:t>
      </w:r>
      <w:r w:rsidR="000967DC">
        <w:rPr>
          <w:lang w:val="en-GB" w:eastAsia="en-US"/>
        </w:rPr>
        <w:t xml:space="preserve"> define multiple coreset</w:t>
      </w:r>
      <w:r w:rsidR="002B2682">
        <w:rPr>
          <w:lang w:val="en-GB" w:eastAsia="en-US"/>
        </w:rPr>
        <w:t xml:space="preserve">s, one in each </w:t>
      </w:r>
      <w:proofErr w:type="spellStart"/>
      <w:r w:rsidR="002B2682">
        <w:rPr>
          <w:lang w:val="en-GB" w:eastAsia="en-US"/>
        </w:rPr>
        <w:t>subband</w:t>
      </w:r>
      <w:proofErr w:type="spellEnd"/>
      <w:r w:rsidR="002B2682">
        <w:rPr>
          <w:lang w:val="en-GB" w:eastAsia="en-US"/>
        </w:rPr>
        <w:t xml:space="preserve"> (</w:t>
      </w:r>
      <w:r w:rsidR="002B2682">
        <w:rPr>
          <w:lang w:val="en-GB" w:eastAsia="en-US"/>
        </w:rPr>
        <w:fldChar w:fldCharType="begin"/>
      </w:r>
      <w:r w:rsidR="002B2682">
        <w:rPr>
          <w:lang w:val="en-GB" w:eastAsia="en-US"/>
        </w:rPr>
        <w:instrText xml:space="preserve"> REF _Ref534829114 \h </w:instrText>
      </w:r>
      <w:r w:rsidR="002B2682">
        <w:rPr>
          <w:lang w:val="en-GB" w:eastAsia="en-US"/>
        </w:rPr>
      </w:r>
      <w:r w:rsidR="002B2682">
        <w:rPr>
          <w:lang w:val="en-GB" w:eastAsia="en-US"/>
        </w:rPr>
        <w:fldChar w:fldCharType="separate"/>
      </w:r>
      <w:r w:rsidR="00F57B50">
        <w:t xml:space="preserve">Figure </w:t>
      </w:r>
      <w:r w:rsidR="00F57B50">
        <w:rPr>
          <w:noProof/>
        </w:rPr>
        <w:t>1</w:t>
      </w:r>
      <w:r w:rsidR="002B2682">
        <w:rPr>
          <w:lang w:val="en-GB" w:eastAsia="en-US"/>
        </w:rPr>
        <w:fldChar w:fldCharType="end"/>
      </w:r>
      <w:r w:rsidR="000967DC">
        <w:rPr>
          <w:lang w:val="en-GB" w:eastAsia="en-US"/>
        </w:rPr>
        <w:t xml:space="preserve">). </w:t>
      </w:r>
      <w:r w:rsidR="002B2682">
        <w:rPr>
          <w:lang w:val="en-GB" w:eastAsia="en-US"/>
        </w:rPr>
        <w:t xml:space="preserve">However, Rel.15 NR has limitations </w:t>
      </w:r>
      <w:r w:rsidR="007D7058">
        <w:rPr>
          <w:lang w:val="en-GB" w:eastAsia="en-US"/>
        </w:rPr>
        <w:t xml:space="preserve">on the number of coresets </w:t>
      </w:r>
      <w:r w:rsidR="002B2682">
        <w:rPr>
          <w:lang w:val="en-GB" w:eastAsia="en-US"/>
        </w:rPr>
        <w:t xml:space="preserve">and </w:t>
      </w:r>
      <w:r w:rsidR="007D7058">
        <w:rPr>
          <w:lang w:val="en-GB" w:eastAsia="en-US"/>
        </w:rPr>
        <w:t xml:space="preserve">the </w:t>
      </w:r>
      <w:r w:rsidR="002B2682">
        <w:rPr>
          <w:lang w:val="en-GB" w:eastAsia="en-US"/>
        </w:rPr>
        <w:t xml:space="preserve">number of search space sets. These limitations will be quickly reached if there are multiple </w:t>
      </w:r>
      <w:proofErr w:type="spellStart"/>
      <w:r w:rsidR="002B2682">
        <w:rPr>
          <w:lang w:val="en-GB" w:eastAsia="en-US"/>
        </w:rPr>
        <w:t>subbands</w:t>
      </w:r>
      <w:proofErr w:type="spellEnd"/>
      <w:r w:rsidR="002F1063">
        <w:rPr>
          <w:lang w:val="en-GB" w:eastAsia="en-US"/>
        </w:rPr>
        <w:t xml:space="preserve"> and coresets are defined for each </w:t>
      </w:r>
      <w:proofErr w:type="spellStart"/>
      <w:r w:rsidR="002F1063">
        <w:rPr>
          <w:lang w:val="en-GB" w:eastAsia="en-US"/>
        </w:rPr>
        <w:t>subband</w:t>
      </w:r>
      <w:proofErr w:type="spellEnd"/>
      <w:r w:rsidR="002B2682">
        <w:rPr>
          <w:lang w:val="en-GB" w:eastAsia="en-US"/>
        </w:rPr>
        <w:t>.</w:t>
      </w:r>
    </w:p>
    <w:p w14:paraId="37675172" w14:textId="71E23EED" w:rsidR="000967DC" w:rsidRDefault="000967DC">
      <w:pPr>
        <w:rPr>
          <w:lang w:val="en-GB" w:eastAsia="en-US"/>
        </w:rPr>
      </w:pPr>
      <w:r>
        <w:rPr>
          <w:lang w:val="en-GB" w:eastAsia="en-US"/>
        </w:rPr>
        <w:t xml:space="preserve">It turns out Rel.15 NR coreset design </w:t>
      </w:r>
      <w:r w:rsidR="002B2682">
        <w:rPr>
          <w:lang w:val="en-GB" w:eastAsia="en-US"/>
        </w:rPr>
        <w:t xml:space="preserve">is flexible enough to </w:t>
      </w:r>
      <w:r>
        <w:rPr>
          <w:lang w:val="en-GB" w:eastAsia="en-US"/>
        </w:rPr>
        <w:t xml:space="preserve">support </w:t>
      </w:r>
      <w:r w:rsidR="002B2682">
        <w:rPr>
          <w:lang w:val="en-GB" w:eastAsia="en-US"/>
        </w:rPr>
        <w:t xml:space="preserve">dynamic </w:t>
      </w:r>
      <w:proofErr w:type="spellStart"/>
      <w:r w:rsidR="002B2682">
        <w:rPr>
          <w:lang w:val="en-GB" w:eastAsia="en-US"/>
        </w:rPr>
        <w:t>subband</w:t>
      </w:r>
      <w:proofErr w:type="spellEnd"/>
      <w:r w:rsidR="002B2682">
        <w:rPr>
          <w:lang w:val="en-GB" w:eastAsia="en-US"/>
        </w:rPr>
        <w:t xml:space="preserve"> usage</w:t>
      </w:r>
      <w:r>
        <w:rPr>
          <w:lang w:val="en-GB" w:eastAsia="en-US"/>
        </w:rPr>
        <w:t xml:space="preserve">.  </w:t>
      </w:r>
    </w:p>
    <w:p w14:paraId="22B39A00" w14:textId="5E378315" w:rsidR="00787477" w:rsidRDefault="002B2682">
      <w:pPr>
        <w:rPr>
          <w:lang w:val="en-GB" w:eastAsia="en-US"/>
        </w:rPr>
      </w:pPr>
      <w:r>
        <w:rPr>
          <w:lang w:val="en-GB" w:eastAsia="en-US"/>
        </w:rPr>
        <w:t>One way to configure coreset is forming the coreset</w:t>
      </w:r>
      <w:r w:rsidR="000967DC">
        <w:rPr>
          <w:lang w:val="en-GB" w:eastAsia="en-US"/>
        </w:rPr>
        <w:t xml:space="preserve"> by RBs in </w:t>
      </w:r>
      <w:r w:rsidR="00787477">
        <w:rPr>
          <w:lang w:val="en-GB" w:eastAsia="en-US"/>
        </w:rPr>
        <w:t>multiple cluster</w:t>
      </w:r>
      <w:r w:rsidR="000967DC">
        <w:rPr>
          <w:lang w:val="en-GB" w:eastAsia="en-US"/>
        </w:rPr>
        <w:t xml:space="preserve">s, where each cluster is over a continuous </w:t>
      </w:r>
      <w:r>
        <w:rPr>
          <w:lang w:val="en-GB" w:eastAsia="en-US"/>
        </w:rPr>
        <w:t>set of RBs. For example, t</w:t>
      </w:r>
      <w:r w:rsidR="000967DC">
        <w:rPr>
          <w:lang w:val="en-GB" w:eastAsia="en-US"/>
        </w:rPr>
        <w:t>o support Option 3 ov</w:t>
      </w:r>
      <w:r>
        <w:rPr>
          <w:lang w:val="en-GB" w:eastAsia="en-US"/>
        </w:rPr>
        <w:t>er</w:t>
      </w:r>
      <w:r w:rsidR="000967DC">
        <w:rPr>
          <w:lang w:val="en-GB" w:eastAsia="en-US"/>
        </w:rPr>
        <w:t xml:space="preserve"> 80MHz, the gNB can configure a coreset with </w:t>
      </w:r>
      <w:r>
        <w:rPr>
          <w:lang w:val="en-GB" w:eastAsia="en-US"/>
        </w:rPr>
        <w:t xml:space="preserve">4 clusters, where each cluster is localized in one </w:t>
      </w:r>
      <w:proofErr w:type="spellStart"/>
      <w:r>
        <w:rPr>
          <w:lang w:val="en-GB" w:eastAsia="en-US"/>
        </w:rPr>
        <w:t>subband</w:t>
      </w:r>
      <w:proofErr w:type="spellEnd"/>
      <w:r>
        <w:rPr>
          <w:lang w:val="en-GB" w:eastAsia="en-US"/>
        </w:rPr>
        <w:t xml:space="preserve">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F57B50">
        <w:t xml:space="preserve">Figure </w:t>
      </w:r>
      <w:r w:rsidR="00F57B50">
        <w:rPr>
          <w:noProof/>
        </w:rPr>
        <w:t>2</w:t>
      </w:r>
      <w:r>
        <w:rPr>
          <w:lang w:val="en-GB" w:eastAsia="en-US"/>
        </w:rPr>
        <w:fldChar w:fldCharType="end"/>
      </w:r>
      <w:r>
        <w:rPr>
          <w:lang w:val="en-GB" w:eastAsia="en-US"/>
        </w:rPr>
        <w:t xml:space="preserve">,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F57B50">
        <w:t xml:space="preserve">Figure </w:t>
      </w:r>
      <w:r w:rsidR="00F57B50">
        <w:rPr>
          <w:noProof/>
        </w:rPr>
        <w:t>3</w:t>
      </w:r>
      <w:r>
        <w:rPr>
          <w:lang w:val="en-GB" w:eastAsia="en-US"/>
        </w:rPr>
        <w:fldChar w:fldCharType="end"/>
      </w:r>
      <w:r>
        <w:rPr>
          <w:lang w:val="en-GB" w:eastAsia="en-US"/>
        </w:rPr>
        <w:t>). The coreset can be interleaved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F57B50">
        <w:t xml:space="preserve">Figure </w:t>
      </w:r>
      <w:r w:rsidR="00F57B50">
        <w:rPr>
          <w:noProof/>
        </w:rPr>
        <w:t>2</w:t>
      </w:r>
      <w:r>
        <w:rPr>
          <w:lang w:val="en-GB" w:eastAsia="en-US"/>
        </w:rPr>
        <w:fldChar w:fldCharType="end"/>
      </w:r>
      <w:r>
        <w:rPr>
          <w:lang w:val="en-GB" w:eastAsia="en-US"/>
        </w:rPr>
        <w:t>) or localized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F57B50">
        <w:t xml:space="preserve">Figure </w:t>
      </w:r>
      <w:r w:rsidR="00F57B50">
        <w:rPr>
          <w:noProof/>
        </w:rPr>
        <w:t>3</w:t>
      </w:r>
      <w:r>
        <w:rPr>
          <w:lang w:val="en-GB" w:eastAsia="en-US"/>
        </w:rPr>
        <w:fldChar w:fldCharType="end"/>
      </w:r>
      <w:r>
        <w:rPr>
          <w:lang w:val="en-GB" w:eastAsia="en-US"/>
        </w:rPr>
        <w:t xml:space="preserve">). When a subset of </w:t>
      </w:r>
      <w:proofErr w:type="spellStart"/>
      <w:r>
        <w:rPr>
          <w:lang w:val="en-GB" w:eastAsia="en-US"/>
        </w:rPr>
        <w:t>subbands</w:t>
      </w:r>
      <w:proofErr w:type="spellEnd"/>
      <w:r>
        <w:rPr>
          <w:lang w:val="en-GB" w:eastAsia="en-US"/>
        </w:rPr>
        <w:t xml:space="preserve"> pass LBT, only the clusters of the coreset within those </w:t>
      </w:r>
      <w:proofErr w:type="spellStart"/>
      <w:r>
        <w:rPr>
          <w:lang w:val="en-GB" w:eastAsia="en-US"/>
        </w:rPr>
        <w:t>subbands</w:t>
      </w:r>
      <w:proofErr w:type="spellEnd"/>
      <w:r>
        <w:rPr>
          <w:lang w:val="en-GB" w:eastAsia="en-US"/>
        </w:rPr>
        <w:t xml:space="preserve"> will be transmitted.</w:t>
      </w:r>
    </w:p>
    <w:p w14:paraId="34BCBAC3" w14:textId="77777777" w:rsidR="002B2682" w:rsidRDefault="000967DC" w:rsidP="00D77412">
      <w:pPr>
        <w:keepNext/>
      </w:pPr>
      <w:r w:rsidRPr="000967DC">
        <w:rPr>
          <w:lang w:eastAsia="en-US"/>
        </w:rPr>
        <w:object w:dxaOrig="13636" w:dyaOrig="4036" w14:anchorId="4E4E8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38.6pt" o:ole="">
            <v:imagedata r:id="rId13" o:title=""/>
          </v:shape>
          <o:OLEObject Type="Embed" ProgID="Visio.Drawing.15" ShapeID="_x0000_i1025" DrawAspect="Content" ObjectID="_1608731945" r:id="rId14"/>
        </w:object>
      </w:r>
    </w:p>
    <w:p w14:paraId="47DB156C" w14:textId="7E26A451" w:rsidR="000967DC" w:rsidRPr="000967DC" w:rsidRDefault="002B2682" w:rsidP="00D77412">
      <w:pPr>
        <w:pStyle w:val="Caption"/>
        <w:jc w:val="both"/>
      </w:pPr>
      <w:bookmarkStart w:id="5" w:name="_Ref534829114"/>
      <w:r>
        <w:t xml:space="preserve">Figure </w:t>
      </w:r>
      <w:r>
        <w:fldChar w:fldCharType="begin"/>
      </w:r>
      <w:r>
        <w:instrText xml:space="preserve"> SEQ Figure \* ARABIC </w:instrText>
      </w:r>
      <w:r>
        <w:fldChar w:fldCharType="separate"/>
      </w:r>
      <w:r w:rsidR="00F57B50">
        <w:rPr>
          <w:noProof/>
        </w:rPr>
        <w:t>1</w:t>
      </w:r>
      <w:r>
        <w:fldChar w:fldCharType="end"/>
      </w:r>
      <w:bookmarkEnd w:id="5"/>
      <w:r>
        <w:t>. Coreset configuration example with one coreset per subband</w:t>
      </w:r>
    </w:p>
    <w:p w14:paraId="008F0A6E" w14:textId="2542C554" w:rsidR="000967DC" w:rsidRDefault="002B2682">
      <w:pPr>
        <w:rPr>
          <w:lang w:val="en-GB" w:eastAsia="en-US"/>
        </w:rPr>
      </w:pPr>
      <w:r>
        <w:rPr>
          <w:lang w:val="en-GB" w:eastAsia="en-US"/>
        </w:rPr>
        <w:t xml:space="preserve">In interleaved coreset case, each PDCCH will have some REGs in each cluster (the parameters of the coreset and search space may need to be picked carefully to achieve this goal). </w:t>
      </w:r>
      <w:r w:rsidR="007D7058">
        <w:rPr>
          <w:lang w:val="en-GB" w:eastAsia="en-US"/>
        </w:rPr>
        <w:t>In this case,</w:t>
      </w:r>
      <w:r>
        <w:rPr>
          <w:lang w:val="en-GB" w:eastAsia="en-US"/>
        </w:rPr>
        <w:t xml:space="preserve"> even </w:t>
      </w:r>
      <w:r w:rsidR="007D7058">
        <w:rPr>
          <w:lang w:val="en-GB" w:eastAsia="en-US"/>
        </w:rPr>
        <w:t xml:space="preserve">if </w:t>
      </w:r>
      <w:r>
        <w:rPr>
          <w:lang w:val="en-GB" w:eastAsia="en-US"/>
        </w:rPr>
        <w:t xml:space="preserve">some of the clusters are </w:t>
      </w:r>
      <w:r>
        <w:rPr>
          <w:lang w:val="en-GB" w:eastAsia="en-US"/>
        </w:rPr>
        <w:lastRenderedPageBreak/>
        <w:t>punctured, the UE can still decode the PDCCH using the remaining REGs for the PDCCH.</w:t>
      </w:r>
    </w:p>
    <w:p w14:paraId="463CD9F4" w14:textId="0AF1A940" w:rsidR="000967DC" w:rsidRDefault="000967DC">
      <w:pPr>
        <w:rPr>
          <w:lang w:val="en-GB" w:eastAsia="en-US"/>
        </w:rPr>
      </w:pPr>
      <w:r w:rsidRPr="000967DC">
        <w:rPr>
          <w:lang w:eastAsia="en-US"/>
        </w:rPr>
        <w:object w:dxaOrig="13351" w:dyaOrig="4336" w14:anchorId="5A480165">
          <v:shape id="_x0000_i1026" type="#_x0000_t75" style="width:467.8pt;height:151.9pt" o:ole="">
            <v:imagedata r:id="rId15" o:title=""/>
          </v:shape>
          <o:OLEObject Type="Embed" ProgID="Visio.Drawing.15" ShapeID="_x0000_i1026" DrawAspect="Content" ObjectID="_1608731946" r:id="rId16"/>
        </w:object>
      </w:r>
    </w:p>
    <w:p w14:paraId="15984AB0" w14:textId="2F949195" w:rsidR="002B2682" w:rsidRPr="000967DC" w:rsidRDefault="002B2682" w:rsidP="002B2682">
      <w:pPr>
        <w:pStyle w:val="Caption"/>
        <w:jc w:val="both"/>
      </w:pPr>
      <w:bookmarkStart w:id="6" w:name="_Ref534829331"/>
      <w:r>
        <w:t xml:space="preserve">Figure </w:t>
      </w:r>
      <w:r>
        <w:fldChar w:fldCharType="begin"/>
      </w:r>
      <w:r>
        <w:instrText xml:space="preserve"> SEQ Figure \* ARABIC </w:instrText>
      </w:r>
      <w:r>
        <w:fldChar w:fldCharType="separate"/>
      </w:r>
      <w:r w:rsidR="00F57B50">
        <w:rPr>
          <w:noProof/>
        </w:rPr>
        <w:t>2</w:t>
      </w:r>
      <w:r>
        <w:fldChar w:fldCharType="end"/>
      </w:r>
      <w:bookmarkEnd w:id="6"/>
      <w:r>
        <w:t>. Coreset configuration example with one interleaved discontinuous coreset over all subbands</w:t>
      </w:r>
    </w:p>
    <w:p w14:paraId="0785BCC8" w14:textId="17BF246C" w:rsidR="002B2682" w:rsidRDefault="002B2682" w:rsidP="002B2682">
      <w:pPr>
        <w:rPr>
          <w:lang w:val="en-GB" w:eastAsia="en-US"/>
        </w:rPr>
      </w:pPr>
      <w:r>
        <w:rPr>
          <w:lang w:val="en-GB" w:eastAsia="en-US"/>
        </w:rPr>
        <w:t xml:space="preserve">In localized coreset case, each PDCCH will be localized in one cluster (the parameters of the coreset and search space may need to be picked carefully to achieve this goal). If some of the clusters are punctured, the PDCCH in the remaining clusters will not be affected and can be decoded. </w:t>
      </w:r>
    </w:p>
    <w:p w14:paraId="345F4551" w14:textId="74440F6E" w:rsidR="000967DC" w:rsidRDefault="000967DC">
      <w:pPr>
        <w:rPr>
          <w:lang w:val="en-GB" w:eastAsia="en-US"/>
        </w:rPr>
      </w:pPr>
      <w:r w:rsidRPr="000967DC">
        <w:rPr>
          <w:lang w:eastAsia="en-US"/>
        </w:rPr>
        <w:object w:dxaOrig="13636" w:dyaOrig="4036" w14:anchorId="1BDDFB0D">
          <v:shape id="_x0000_i1027" type="#_x0000_t75" style="width:468.2pt;height:138.6pt" o:ole="">
            <v:imagedata r:id="rId17" o:title=""/>
          </v:shape>
          <o:OLEObject Type="Embed" ProgID="Visio.Drawing.15" ShapeID="_x0000_i1027" DrawAspect="Content" ObjectID="_1608731947" r:id="rId18"/>
        </w:object>
      </w:r>
    </w:p>
    <w:p w14:paraId="0CF663FB" w14:textId="1B31F2E1" w:rsidR="002B2682" w:rsidRPr="000967DC" w:rsidRDefault="002B2682" w:rsidP="002B2682">
      <w:pPr>
        <w:pStyle w:val="Caption"/>
        <w:jc w:val="both"/>
      </w:pPr>
      <w:bookmarkStart w:id="7" w:name="_Ref534829334"/>
      <w:r>
        <w:t xml:space="preserve">Figure </w:t>
      </w:r>
      <w:r>
        <w:fldChar w:fldCharType="begin"/>
      </w:r>
      <w:r>
        <w:instrText xml:space="preserve"> SEQ Figure \* ARABIC </w:instrText>
      </w:r>
      <w:r>
        <w:fldChar w:fldCharType="separate"/>
      </w:r>
      <w:r w:rsidR="00F57B50">
        <w:rPr>
          <w:noProof/>
        </w:rPr>
        <w:t>3</w:t>
      </w:r>
      <w:r>
        <w:fldChar w:fldCharType="end"/>
      </w:r>
      <w:bookmarkEnd w:id="7"/>
      <w:r>
        <w:t>. Coreset configuration example with one localized discontinuous coreset over all subbands</w:t>
      </w:r>
    </w:p>
    <w:p w14:paraId="7210E38C" w14:textId="1E690D46" w:rsidR="002B2682" w:rsidRPr="00D77412" w:rsidRDefault="004C167C">
      <w:pPr>
        <w:rPr>
          <w:b/>
          <w:lang w:val="en-GB" w:eastAsia="en-US"/>
        </w:rPr>
      </w:pPr>
      <w:bookmarkStart w:id="8" w:name="p4"/>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F57B50">
        <w:rPr>
          <w:b/>
          <w:noProof/>
          <w:lang w:val="en-GB" w:eastAsia="en-US"/>
        </w:rPr>
        <w:t>4</w:t>
      </w:r>
      <w:r w:rsidRPr="00D77412">
        <w:rPr>
          <w:b/>
          <w:lang w:val="en-GB" w:eastAsia="en-US"/>
        </w:rPr>
        <w:fldChar w:fldCharType="end"/>
      </w:r>
      <w:r w:rsidRPr="00D77412">
        <w:rPr>
          <w:b/>
          <w:lang w:val="en-GB" w:eastAsia="en-US"/>
        </w:rPr>
        <w:t>: Rel.15 NR wideband multi-cluster coreset can be used to support subband based access of wideband BWP.</w:t>
      </w:r>
    </w:p>
    <w:bookmarkEnd w:id="8"/>
    <w:p w14:paraId="234CFE54" w14:textId="228077C0" w:rsidR="004C167C" w:rsidRDefault="004C167C">
      <w:pPr>
        <w:rPr>
          <w:lang w:val="en-GB" w:eastAsia="en-US"/>
        </w:rPr>
      </w:pPr>
      <w:r>
        <w:rPr>
          <w:lang w:val="en-GB" w:eastAsia="en-US"/>
        </w:rPr>
        <w:t xml:space="preserve">For the PDSCH transmission, since NR uses frequency first mapping, if a PDSCH crosses multiple subbands and some of the subbands are punctured due to LBT failure, the decoding for each CB will be affected. However, NR has natural HARQ retransmission to handle the failures. </w:t>
      </w:r>
      <w:r w:rsidR="001B7DFF">
        <w:rPr>
          <w:lang w:val="en-GB" w:eastAsia="en-US"/>
        </w:rPr>
        <w:t xml:space="preserve">On the other hand, if there are multiple UEs to schedule in DL, and each UE’s PDSCH is restricted to one subband, then the PDSCH to the UE is either fully punctured or fully transmitted in frequency domain. </w:t>
      </w:r>
      <w:r w:rsidR="00E57016">
        <w:rPr>
          <w:lang w:val="en-GB" w:eastAsia="en-US"/>
        </w:rPr>
        <w:t xml:space="preserve">For example, in </w:t>
      </w:r>
      <w:r w:rsidR="00E57016">
        <w:rPr>
          <w:lang w:val="en-GB" w:eastAsia="en-US"/>
        </w:rPr>
        <w:fldChar w:fldCharType="begin"/>
      </w:r>
      <w:r w:rsidR="00E57016">
        <w:rPr>
          <w:lang w:val="en-GB" w:eastAsia="en-US"/>
        </w:rPr>
        <w:instrText xml:space="preserve"> REF _Ref534913715 \h </w:instrText>
      </w:r>
      <w:r w:rsidR="00E57016">
        <w:rPr>
          <w:lang w:val="en-GB" w:eastAsia="en-US"/>
        </w:rPr>
      </w:r>
      <w:r w:rsidR="00E57016">
        <w:rPr>
          <w:lang w:val="en-GB" w:eastAsia="en-US"/>
        </w:rPr>
        <w:fldChar w:fldCharType="separate"/>
      </w:r>
      <w:r w:rsidR="00F57B50">
        <w:t xml:space="preserve">Figure </w:t>
      </w:r>
      <w:r w:rsidR="00F57B50">
        <w:rPr>
          <w:noProof/>
        </w:rPr>
        <w:t>4</w:t>
      </w:r>
      <w:r w:rsidR="00E57016">
        <w:rPr>
          <w:lang w:val="en-GB" w:eastAsia="en-US"/>
        </w:rPr>
        <w:fldChar w:fldCharType="end"/>
      </w:r>
      <w:r w:rsidR="00E57016">
        <w:rPr>
          <w:lang w:val="en-GB" w:eastAsia="en-US"/>
        </w:rPr>
        <w:t xml:space="preserve">, we show a case where gNB plans to schedule three UEs. One on subband 0, one on subband 1 and another on subband 2 and 3. LBT passes on subband 0,1,3 and fails on subband 2. PDSCH for UE1 and UE2 are sent without any issues. However, for UE3, since gNB does not have too much time to react to the LBT failure, it continues to transmit portion of the PDSCH on subband 3 but punctures the portion of the PDSCH on subband 2. At a later time, it </w:t>
      </w:r>
      <w:r w:rsidR="006B5946">
        <w:rPr>
          <w:lang w:val="en-GB" w:eastAsia="en-US"/>
        </w:rPr>
        <w:t xml:space="preserve">starts </w:t>
      </w:r>
      <w:r w:rsidR="00E57016">
        <w:rPr>
          <w:lang w:val="en-GB" w:eastAsia="en-US"/>
        </w:rPr>
        <w:t>avoid</w:t>
      </w:r>
      <w:r w:rsidR="006B5946">
        <w:rPr>
          <w:lang w:val="en-GB" w:eastAsia="en-US"/>
        </w:rPr>
        <w:t>ing</w:t>
      </w:r>
      <w:r w:rsidR="00E57016">
        <w:rPr>
          <w:lang w:val="en-GB" w:eastAsia="en-US"/>
        </w:rPr>
        <w:t xml:space="preserve"> scheduling on subband 2. More advanced gNBs may have different sets of PDSCH(s) prepared for different LBT outcomes and can even avoid such puncturing.</w:t>
      </w:r>
    </w:p>
    <w:p w14:paraId="09FD3C6C" w14:textId="77777777" w:rsidR="00E57016" w:rsidRDefault="00E57016" w:rsidP="00D77412">
      <w:pPr>
        <w:keepNext/>
        <w:jc w:val="center"/>
      </w:pPr>
      <w:r>
        <w:rPr>
          <w:lang w:val="en-GB" w:eastAsia="en-US"/>
        </w:rPr>
        <w:object w:dxaOrig="9421" w:dyaOrig="7021" w14:anchorId="3B1BEC0F">
          <v:shape id="_x0000_i1028" type="#_x0000_t75" style="width:394.15pt;height:293.85pt" o:ole="">
            <v:imagedata r:id="rId19" o:title=""/>
          </v:shape>
          <o:OLEObject Type="Embed" ProgID="Visio.Drawing.11" ShapeID="_x0000_i1028" DrawAspect="Content" ObjectID="_1608731948" r:id="rId20"/>
        </w:object>
      </w:r>
    </w:p>
    <w:p w14:paraId="55CA2C66" w14:textId="77EABD35" w:rsidR="001B7DFF" w:rsidRDefault="00E57016" w:rsidP="00D77412">
      <w:pPr>
        <w:pStyle w:val="Caption"/>
        <w:jc w:val="center"/>
      </w:pPr>
      <w:bookmarkStart w:id="9" w:name="_Ref534913715"/>
      <w:r>
        <w:t xml:space="preserve">Figure </w:t>
      </w:r>
      <w:r>
        <w:fldChar w:fldCharType="begin"/>
      </w:r>
      <w:r>
        <w:instrText xml:space="preserve"> SEQ Figure \* ARABIC </w:instrText>
      </w:r>
      <w:r>
        <w:fldChar w:fldCharType="separate"/>
      </w:r>
      <w:r w:rsidR="00F57B50">
        <w:rPr>
          <w:noProof/>
        </w:rPr>
        <w:t>4</w:t>
      </w:r>
      <w:r>
        <w:fldChar w:fldCharType="end"/>
      </w:r>
      <w:bookmarkEnd w:id="9"/>
      <w:r>
        <w:t>: DL operation with option 3</w:t>
      </w:r>
    </w:p>
    <w:p w14:paraId="3DD24CC8" w14:textId="2865293A" w:rsidR="001B7DFF" w:rsidRDefault="001B7DFF">
      <w:pPr>
        <w:rPr>
          <w:lang w:val="en-GB" w:eastAsia="en-US"/>
        </w:rPr>
      </w:pPr>
      <w:r>
        <w:rPr>
          <w:lang w:val="en-GB" w:eastAsia="en-US"/>
        </w:rPr>
        <w:t>After the LBT, the gNB knows which subbands can be used in the current COT. It will be beneficial to eventually indicate to the UE the subband usage. For example, when the subband usage is known, the UE can adjust the PDCCH monitoring to allocate the blind decodings to the coreset clusters in the used subbands only. We propose the include the subband usage information in the COT structure indication as well, as similar to duration, the bandwidth is part of the COT structure after all.</w:t>
      </w:r>
    </w:p>
    <w:p w14:paraId="585B7C1C" w14:textId="5E248489" w:rsidR="001B7DFF" w:rsidRPr="00D77412" w:rsidRDefault="001B7DFF">
      <w:pPr>
        <w:rPr>
          <w:b/>
          <w:lang w:val="en-GB" w:eastAsia="en-US"/>
        </w:rPr>
      </w:pPr>
      <w:bookmarkStart w:id="10" w:name="p5"/>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F57B50">
        <w:rPr>
          <w:b/>
          <w:noProof/>
          <w:lang w:val="en-GB" w:eastAsia="en-US"/>
        </w:rPr>
        <w:t>5</w:t>
      </w:r>
      <w:r w:rsidRPr="00D77412">
        <w:rPr>
          <w:b/>
          <w:lang w:val="en-GB" w:eastAsia="en-US"/>
        </w:rPr>
        <w:fldChar w:fldCharType="end"/>
      </w:r>
      <w:r w:rsidRPr="00D77412">
        <w:rPr>
          <w:b/>
          <w:lang w:val="en-GB" w:eastAsia="en-US"/>
        </w:rPr>
        <w:t xml:space="preserve">. </w:t>
      </w:r>
      <w:r w:rsidR="00316C5A" w:rsidRPr="00D77412">
        <w:rPr>
          <w:b/>
          <w:lang w:val="en-GB" w:eastAsia="en-US"/>
        </w:rPr>
        <w:t xml:space="preserve">Include the subband usage information </w:t>
      </w:r>
      <w:r w:rsidR="0069728A">
        <w:rPr>
          <w:b/>
          <w:lang w:val="en-GB" w:eastAsia="en-US"/>
        </w:rPr>
        <w:t>as part of</w:t>
      </w:r>
      <w:r w:rsidR="00316C5A" w:rsidRPr="00D77412">
        <w:rPr>
          <w:b/>
          <w:lang w:val="en-GB" w:eastAsia="en-US"/>
        </w:rPr>
        <w:t xml:space="preserve"> the COT structure indication.</w:t>
      </w:r>
    </w:p>
    <w:bookmarkEnd w:id="10"/>
    <w:p w14:paraId="21A398F5" w14:textId="3051CCF2" w:rsidR="006C349A" w:rsidRDefault="006C349A" w:rsidP="00601374">
      <w:pPr>
        <w:pStyle w:val="Heading1"/>
        <w:kinsoku w:val="0"/>
        <w:spacing w:after="0"/>
      </w:pPr>
      <w:r>
        <w:t>UL</w:t>
      </w:r>
      <w:r w:rsidR="0094414E">
        <w:t xml:space="preserve"> wideband BWP operation</w:t>
      </w:r>
    </w:p>
    <w:p w14:paraId="798D41C2" w14:textId="48F0AECE" w:rsidR="00D77412" w:rsidRDefault="00316C5A" w:rsidP="00D77412">
      <w:pPr>
        <w:rPr>
          <w:lang w:val="en-GB" w:eastAsia="en-US"/>
        </w:rPr>
      </w:pPr>
      <w:r>
        <w:rPr>
          <w:lang w:val="en-GB" w:eastAsia="en-US"/>
        </w:rPr>
        <w:t xml:space="preserve">For UL transmission, </w:t>
      </w:r>
      <w:proofErr w:type="gramStart"/>
      <w:r>
        <w:rPr>
          <w:lang w:val="en-GB" w:eastAsia="en-US"/>
        </w:rPr>
        <w:t>similar to</w:t>
      </w:r>
      <w:proofErr w:type="gramEnd"/>
      <w:r>
        <w:rPr>
          <w:lang w:val="en-GB" w:eastAsia="en-US"/>
        </w:rPr>
        <w:t xml:space="preserve"> DL transmission, we have Option 2 and Option 3 as well. </w:t>
      </w:r>
      <w:r w:rsidR="00D77412">
        <w:rPr>
          <w:lang w:val="en-GB" w:eastAsia="en-US"/>
        </w:rPr>
        <w:t xml:space="preserve">We believe the definition of Option 2 and Option 3 is not very clear. For </w:t>
      </w:r>
      <w:proofErr w:type="gramStart"/>
      <w:r w:rsidR="00D77412">
        <w:rPr>
          <w:lang w:val="en-GB" w:eastAsia="en-US"/>
        </w:rPr>
        <w:t>example</w:t>
      </w:r>
      <w:proofErr w:type="gramEnd"/>
      <w:r w:rsidR="00D77412">
        <w:rPr>
          <w:lang w:val="en-GB" w:eastAsia="en-US"/>
        </w:rPr>
        <w:t xml:space="preserve"> if the UE is granted with a PUSCH in one </w:t>
      </w:r>
      <w:proofErr w:type="spellStart"/>
      <w:r w:rsidR="00D77412">
        <w:rPr>
          <w:lang w:val="en-GB" w:eastAsia="en-US"/>
        </w:rPr>
        <w:t>subband</w:t>
      </w:r>
      <w:proofErr w:type="spellEnd"/>
      <w:r w:rsidR="00D77412">
        <w:rPr>
          <w:lang w:val="en-GB" w:eastAsia="en-US"/>
        </w:rPr>
        <w:t xml:space="preserve"> only out of a BWP covers two </w:t>
      </w:r>
      <w:proofErr w:type="spellStart"/>
      <w:r w:rsidR="00D77412">
        <w:rPr>
          <w:lang w:val="en-GB" w:eastAsia="en-US"/>
        </w:rPr>
        <w:t>subbands</w:t>
      </w:r>
      <w:proofErr w:type="spellEnd"/>
      <w:r w:rsidR="00D77412">
        <w:rPr>
          <w:lang w:val="en-GB" w:eastAsia="en-US"/>
        </w:rPr>
        <w:t xml:space="preserve">, the transmission of the PUSCH should happen if the LBT for the </w:t>
      </w:r>
      <w:proofErr w:type="spellStart"/>
      <w:r w:rsidR="00D77412">
        <w:rPr>
          <w:lang w:val="en-GB" w:eastAsia="en-US"/>
        </w:rPr>
        <w:t>subband</w:t>
      </w:r>
      <w:proofErr w:type="spellEnd"/>
      <w:r w:rsidR="00D77412">
        <w:rPr>
          <w:lang w:val="en-GB" w:eastAsia="en-US"/>
        </w:rPr>
        <w:t xml:space="preserve"> contains PUSCH passes. Therefore, we propose to update the language for Option 2 and Option 3 as follows:</w:t>
      </w:r>
    </w:p>
    <w:p w14:paraId="4D301A6F" w14:textId="5678F649" w:rsidR="001B7DFF" w:rsidRDefault="0069728A" w:rsidP="00D77412">
      <w:r>
        <w:rPr>
          <w:lang w:val="en-GB" w:eastAsia="en-US"/>
        </w:rPr>
        <w:t>Instead of a symmetric design, we propose to support Option 2 for UL for the following reasons.</w:t>
      </w:r>
    </w:p>
    <w:p w14:paraId="7B4169C3" w14:textId="53A72DDB" w:rsidR="0069728A" w:rsidRDefault="0069728A" w:rsidP="00D77412">
      <w:pPr>
        <w:pStyle w:val="ListParagraph"/>
        <w:numPr>
          <w:ilvl w:val="0"/>
          <w:numId w:val="46"/>
        </w:numPr>
        <w:ind w:leftChars="0"/>
      </w:pPr>
      <w:r>
        <w:rPr>
          <w:lang w:val="en-GB" w:eastAsia="en-US"/>
        </w:rPr>
        <w:t>The UL is scheduled, UE autonomous puncturing in frequency domain may lead to some complexity at gNB receiver.</w:t>
      </w:r>
    </w:p>
    <w:p w14:paraId="4F971AE0" w14:textId="6C1383E1" w:rsidR="0069728A" w:rsidRDefault="003643E6" w:rsidP="00D77412">
      <w:pPr>
        <w:pStyle w:val="ListParagraph"/>
        <w:numPr>
          <w:ilvl w:val="0"/>
          <w:numId w:val="46"/>
        </w:numPr>
        <w:ind w:leftChars="0"/>
      </w:pPr>
      <w:r>
        <w:rPr>
          <w:lang w:val="en-GB" w:eastAsia="en-US"/>
        </w:rPr>
        <w:t xml:space="preserve">UL transmission within gNB COT is subject to Cat 1 immediate transmission or Cat 2 LBT. When Cat 1 immediate transmission is used, the UE will follow the UL grant to transmit in the RBs allocated, which are in the subbands </w:t>
      </w:r>
      <w:r w:rsidR="002F1063">
        <w:rPr>
          <w:lang w:val="en-GB" w:eastAsia="en-US"/>
        </w:rPr>
        <w:t xml:space="preserve">that have </w:t>
      </w:r>
      <w:r>
        <w:rPr>
          <w:lang w:val="en-GB" w:eastAsia="en-US"/>
        </w:rPr>
        <w:t xml:space="preserve">passed LBT at gNB side. When Cat 2 LBT is used, since the RBs allocated for UL transmission </w:t>
      </w:r>
      <w:r w:rsidR="002F1063">
        <w:rPr>
          <w:lang w:val="en-GB" w:eastAsia="en-US"/>
        </w:rPr>
        <w:t>are</w:t>
      </w:r>
      <w:r>
        <w:rPr>
          <w:lang w:val="en-GB" w:eastAsia="en-US"/>
        </w:rPr>
        <w:t xml:space="preserve"> in the </w:t>
      </w:r>
      <w:proofErr w:type="spellStart"/>
      <w:r>
        <w:rPr>
          <w:lang w:val="en-GB" w:eastAsia="en-US"/>
        </w:rPr>
        <w:t>subbands</w:t>
      </w:r>
      <w:proofErr w:type="spellEnd"/>
      <w:r>
        <w:rPr>
          <w:lang w:val="en-GB" w:eastAsia="en-US"/>
        </w:rPr>
        <w:t xml:space="preserve"> </w:t>
      </w:r>
      <w:r w:rsidR="002F1063">
        <w:rPr>
          <w:lang w:val="en-GB" w:eastAsia="en-US"/>
        </w:rPr>
        <w:t xml:space="preserve">that </w:t>
      </w:r>
      <w:r>
        <w:rPr>
          <w:lang w:val="en-GB" w:eastAsia="en-US"/>
        </w:rPr>
        <w:t>passed LBT on gNB side recently, the chance</w:t>
      </w:r>
      <w:r w:rsidR="002F1063">
        <w:rPr>
          <w:lang w:val="en-GB" w:eastAsia="en-US"/>
        </w:rPr>
        <w:t>s</w:t>
      </w:r>
      <w:r>
        <w:rPr>
          <w:lang w:val="en-GB" w:eastAsia="en-US"/>
        </w:rPr>
        <w:t xml:space="preserve"> of </w:t>
      </w:r>
      <w:r w:rsidR="005B5F7C">
        <w:rPr>
          <w:lang w:val="en-GB" w:eastAsia="en-US"/>
        </w:rPr>
        <w:t>different LBT outcome</w:t>
      </w:r>
      <w:r w:rsidR="002F1063">
        <w:rPr>
          <w:lang w:val="en-GB" w:eastAsia="en-US"/>
        </w:rPr>
        <w:t>s</w:t>
      </w:r>
      <w:r w:rsidR="005B5F7C">
        <w:rPr>
          <w:lang w:val="en-GB" w:eastAsia="en-US"/>
        </w:rPr>
        <w:t xml:space="preserve"> across these subbands are not high.</w:t>
      </w:r>
    </w:p>
    <w:p w14:paraId="081D5990" w14:textId="329D4551" w:rsidR="00D77412" w:rsidRPr="007D7058" w:rsidRDefault="005B5F7C" w:rsidP="00D77412">
      <w:pPr>
        <w:pStyle w:val="ListParagraph"/>
        <w:numPr>
          <w:ilvl w:val="0"/>
          <w:numId w:val="46"/>
        </w:numPr>
        <w:ind w:leftChars="0"/>
      </w:pPr>
      <w:r>
        <w:rPr>
          <w:lang w:val="en-GB" w:eastAsia="en-US"/>
        </w:rPr>
        <w:t xml:space="preserve">The UL transmission is a single PUSCH targeting the gNB. If there is frequency domain puncturing, due to the frequency first mapping of the PUSCH, all CBs in the PUSCH are affected, and likely a retransmission is needed. The similar issue applies for DL as well if single wideband PDSCH is granted. But the DL has the option to serve multiple UEs in separate </w:t>
      </w:r>
      <w:proofErr w:type="spellStart"/>
      <w:r>
        <w:rPr>
          <w:lang w:val="en-GB" w:eastAsia="en-US"/>
        </w:rPr>
        <w:t>subbands</w:t>
      </w:r>
      <w:proofErr w:type="spellEnd"/>
      <w:r>
        <w:rPr>
          <w:lang w:val="en-GB" w:eastAsia="en-US"/>
        </w:rPr>
        <w:t xml:space="preserve"> with different PDSCH</w:t>
      </w:r>
      <w:r w:rsidR="00D77412">
        <w:rPr>
          <w:lang w:val="en-GB" w:eastAsia="en-US"/>
        </w:rPr>
        <w:t>.</w:t>
      </w:r>
    </w:p>
    <w:p w14:paraId="0704BA96" w14:textId="2C1FCE23" w:rsidR="00787477" w:rsidRPr="00787477" w:rsidRDefault="00787477" w:rsidP="00787477">
      <w:pPr>
        <w:rPr>
          <w:b/>
          <w:lang w:val="en-GB" w:eastAsia="en-US"/>
        </w:rPr>
      </w:pPr>
      <w:bookmarkStart w:id="11" w:name="p6"/>
      <w:r w:rsidRPr="00787477">
        <w:rPr>
          <w:b/>
          <w:lang w:val="en-GB" w:eastAsia="en-US"/>
        </w:rPr>
        <w:t>Proposal</w:t>
      </w:r>
      <w:r w:rsidR="0094414E">
        <w:rPr>
          <w:b/>
          <w:lang w:val="en-GB" w:eastAsia="en-US"/>
        </w:rPr>
        <w:t xml:space="preserve"> </w:t>
      </w:r>
      <w:r w:rsidR="0094414E" w:rsidRPr="00601374">
        <w:rPr>
          <w:b/>
          <w:snapToGrid w:val="0"/>
          <w:kern w:val="0"/>
          <w:szCs w:val="20"/>
          <w:lang w:val="en-GB" w:eastAsia="en-US"/>
        </w:rPr>
        <w:fldChar w:fldCharType="begin"/>
      </w:r>
      <w:r w:rsidR="0094414E" w:rsidRPr="00601374">
        <w:rPr>
          <w:b/>
          <w:snapToGrid w:val="0"/>
          <w:kern w:val="0"/>
          <w:szCs w:val="20"/>
          <w:lang w:val="en-GB" w:eastAsia="en-US"/>
        </w:rPr>
        <w:instrText xml:space="preserve"> seq prop </w:instrText>
      </w:r>
      <w:r w:rsidR="0094414E" w:rsidRPr="00601374">
        <w:rPr>
          <w:b/>
          <w:snapToGrid w:val="0"/>
          <w:kern w:val="0"/>
          <w:szCs w:val="20"/>
          <w:lang w:val="en-GB" w:eastAsia="en-US"/>
        </w:rPr>
        <w:fldChar w:fldCharType="separate"/>
      </w:r>
      <w:r w:rsidR="00F57B50">
        <w:rPr>
          <w:b/>
          <w:noProof/>
          <w:snapToGrid w:val="0"/>
          <w:kern w:val="0"/>
          <w:szCs w:val="20"/>
          <w:lang w:val="en-GB" w:eastAsia="en-US"/>
        </w:rPr>
        <w:t>6</w:t>
      </w:r>
      <w:r w:rsidR="0094414E" w:rsidRPr="00601374">
        <w:rPr>
          <w:b/>
          <w:snapToGrid w:val="0"/>
          <w:kern w:val="0"/>
          <w:szCs w:val="20"/>
          <w:lang w:val="en-GB" w:eastAsia="en-US"/>
        </w:rPr>
        <w:fldChar w:fldCharType="end"/>
      </w:r>
      <w:r w:rsidRPr="00787477">
        <w:rPr>
          <w:b/>
          <w:lang w:val="en-GB" w:eastAsia="en-US"/>
        </w:rPr>
        <w:t xml:space="preserve">: NR-U supports Option </w:t>
      </w:r>
      <w:r>
        <w:rPr>
          <w:b/>
          <w:lang w:val="en-GB" w:eastAsia="en-US"/>
        </w:rPr>
        <w:t>2</w:t>
      </w:r>
      <w:r w:rsidRPr="00787477">
        <w:rPr>
          <w:b/>
          <w:lang w:val="en-GB" w:eastAsia="en-US"/>
        </w:rPr>
        <w:t xml:space="preserve"> for</w:t>
      </w:r>
      <w:r>
        <w:rPr>
          <w:b/>
          <w:lang w:val="en-GB" w:eastAsia="en-US"/>
        </w:rPr>
        <w:t xml:space="preserve"> U</w:t>
      </w:r>
      <w:r w:rsidRPr="00787477">
        <w:rPr>
          <w:b/>
          <w:lang w:val="en-GB" w:eastAsia="en-US"/>
        </w:rPr>
        <w:t>L wideband BWP</w:t>
      </w:r>
      <w:r>
        <w:rPr>
          <w:b/>
          <w:lang w:val="en-GB" w:eastAsia="en-US"/>
        </w:rPr>
        <w:t xml:space="preserve"> operation.</w:t>
      </w:r>
      <w:r w:rsidR="00D77412">
        <w:rPr>
          <w:b/>
          <w:lang w:val="en-GB" w:eastAsia="en-US"/>
        </w:rPr>
        <w:t xml:space="preserve"> </w:t>
      </w:r>
    </w:p>
    <w:bookmarkEnd w:id="11"/>
    <w:p w14:paraId="1F083CA7" w14:textId="2218916B" w:rsidR="0095302F" w:rsidRDefault="0095302F" w:rsidP="00601374">
      <w:pPr>
        <w:pStyle w:val="Heading1"/>
        <w:kinsoku w:val="0"/>
        <w:spacing w:after="0"/>
      </w:pPr>
      <w:r>
        <w:t>Summary</w:t>
      </w:r>
    </w:p>
    <w:p w14:paraId="791C5E77" w14:textId="06E6A4E2" w:rsidR="0051580E"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7219BAF3" w14:textId="77777777" w:rsidR="00F57B50" w:rsidRPr="00DF0720" w:rsidRDefault="002F1063" w:rsidP="00601374">
      <w:pPr>
        <w:kinsoku w:val="0"/>
        <w:overflowPunct w:val="0"/>
        <w:rPr>
          <w:b/>
          <w:lang w:eastAsia="en-US"/>
        </w:rPr>
      </w:pPr>
      <w:r>
        <w:rPr>
          <w:b/>
        </w:rPr>
        <w:lastRenderedPageBreak/>
        <w:fldChar w:fldCharType="begin"/>
      </w:r>
      <w:r>
        <w:rPr>
          <w:b/>
        </w:rPr>
        <w:instrText xml:space="preserve"> REF p1 \h </w:instrText>
      </w:r>
      <w:r>
        <w:rPr>
          <w:b/>
        </w:rPr>
      </w:r>
      <w:r>
        <w:rPr>
          <w:b/>
        </w:rPr>
        <w:fldChar w:fldCharType="separate"/>
      </w:r>
      <w:r w:rsidR="00F57B50" w:rsidRPr="00601374">
        <w:rPr>
          <w:b/>
          <w:snapToGrid w:val="0"/>
          <w:kern w:val="0"/>
          <w:szCs w:val="20"/>
          <w:lang w:val="en-GB" w:eastAsia="en-US"/>
        </w:rPr>
        <w:t xml:space="preserve">Proposal </w:t>
      </w:r>
      <w:r w:rsidR="00F57B50">
        <w:rPr>
          <w:b/>
          <w:noProof/>
          <w:snapToGrid w:val="0"/>
          <w:kern w:val="0"/>
          <w:szCs w:val="20"/>
          <w:lang w:val="en-GB" w:eastAsia="en-US"/>
        </w:rPr>
        <w:t>1</w:t>
      </w:r>
      <w:r w:rsidR="00F57B50" w:rsidRPr="00601374">
        <w:rPr>
          <w:b/>
          <w:snapToGrid w:val="0"/>
          <w:kern w:val="0"/>
          <w:szCs w:val="20"/>
          <w:lang w:val="en-GB" w:eastAsia="en-US"/>
        </w:rPr>
        <w:t xml:space="preserve">: </w:t>
      </w:r>
      <w:r w:rsidR="00F57B50" w:rsidRPr="00601374">
        <w:rPr>
          <w:b/>
          <w:lang w:eastAsia="en-US"/>
        </w:rPr>
        <w:t xml:space="preserve">NR-U supports </w:t>
      </w:r>
      <w:r w:rsidR="00F57B50">
        <w:rPr>
          <w:b/>
          <w:lang w:eastAsia="en-US"/>
        </w:rPr>
        <w:t>wideband operation by following Rel.15 NR behavior, where m</w:t>
      </w:r>
      <w:r w:rsidR="00F57B50" w:rsidRPr="00DF0720">
        <w:rPr>
          <w:b/>
          <w:lang w:eastAsia="en-US"/>
        </w:rPr>
        <w:t>ultiple BWPs can be configu</w:t>
      </w:r>
      <w:r w:rsidR="00F57B50">
        <w:rPr>
          <w:b/>
          <w:lang w:eastAsia="en-US"/>
        </w:rPr>
        <w:t>r</w:t>
      </w:r>
      <w:r w:rsidR="00F57B50" w:rsidRPr="00DF0720">
        <w:rPr>
          <w:b/>
          <w:lang w:eastAsia="en-US"/>
        </w:rPr>
        <w:t xml:space="preserve">ed, </w:t>
      </w:r>
      <w:r w:rsidR="00F57B50">
        <w:rPr>
          <w:b/>
          <w:lang w:eastAsia="en-US"/>
        </w:rPr>
        <w:t xml:space="preserve">but only a </w:t>
      </w:r>
      <w:r w:rsidR="00F57B50" w:rsidRPr="00DF0720">
        <w:rPr>
          <w:b/>
          <w:lang w:eastAsia="en-US"/>
        </w:rPr>
        <w:t xml:space="preserve">single BWP </w:t>
      </w:r>
      <w:r w:rsidR="00F57B50">
        <w:rPr>
          <w:b/>
          <w:lang w:eastAsia="en-US"/>
        </w:rPr>
        <w:t xml:space="preserve">can be </w:t>
      </w:r>
      <w:r w:rsidR="00F57B50" w:rsidRPr="00DF0720">
        <w:rPr>
          <w:b/>
          <w:lang w:eastAsia="en-US"/>
        </w:rPr>
        <w:t>activated</w:t>
      </w:r>
    </w:p>
    <w:p w14:paraId="526919C8" w14:textId="77777777" w:rsidR="00F57B50" w:rsidRPr="00787477" w:rsidRDefault="002F1063" w:rsidP="00787477">
      <w:pPr>
        <w:rPr>
          <w:b/>
          <w:lang w:val="en-GB" w:eastAsia="en-US"/>
        </w:rPr>
      </w:pPr>
      <w:r>
        <w:rPr>
          <w:b/>
        </w:rPr>
        <w:fldChar w:fldCharType="end"/>
      </w:r>
      <w:r>
        <w:rPr>
          <w:b/>
        </w:rPr>
        <w:fldChar w:fldCharType="begin"/>
      </w:r>
      <w:r>
        <w:rPr>
          <w:b/>
        </w:rPr>
        <w:instrText xml:space="preserve"> REF p2 \h </w:instrText>
      </w:r>
      <w:r>
        <w:rPr>
          <w:b/>
        </w:rPr>
      </w:r>
      <w:r>
        <w:rPr>
          <w:b/>
        </w:rPr>
        <w:fldChar w:fldCharType="separate"/>
      </w:r>
      <w:r w:rsidR="00F57B50" w:rsidRPr="00787477">
        <w:rPr>
          <w:b/>
          <w:lang w:val="en-GB" w:eastAsia="en-US"/>
        </w:rPr>
        <w:t>Proposal</w:t>
      </w:r>
      <w:r w:rsidR="00F57B50">
        <w:rPr>
          <w:b/>
          <w:lang w:val="en-GB" w:eastAsia="en-US"/>
        </w:rPr>
        <w:t xml:space="preserve"> </w:t>
      </w:r>
      <w:r w:rsidR="00F57B50">
        <w:rPr>
          <w:b/>
          <w:noProof/>
          <w:snapToGrid w:val="0"/>
          <w:kern w:val="0"/>
          <w:szCs w:val="20"/>
          <w:lang w:val="en-GB" w:eastAsia="en-US"/>
        </w:rPr>
        <w:t>2</w:t>
      </w:r>
      <w:r w:rsidR="00F57B50" w:rsidRPr="00787477">
        <w:rPr>
          <w:b/>
          <w:lang w:val="en-GB" w:eastAsia="en-US"/>
        </w:rPr>
        <w:t>: NR-U supports Option 3 for DL wideband BWP operation, which covers Option 2 as a gNB implementation choice.</w:t>
      </w:r>
    </w:p>
    <w:p w14:paraId="3C57C47E" w14:textId="77777777" w:rsidR="00F57B50" w:rsidRPr="00D77412" w:rsidRDefault="002F1063">
      <w:pPr>
        <w:rPr>
          <w:b/>
          <w:lang w:val="en-GB" w:eastAsia="en-US"/>
        </w:rPr>
      </w:pPr>
      <w:r>
        <w:rPr>
          <w:b/>
        </w:rPr>
        <w:fldChar w:fldCharType="end"/>
      </w:r>
      <w:r>
        <w:rPr>
          <w:b/>
        </w:rPr>
        <w:fldChar w:fldCharType="begin"/>
      </w:r>
      <w:r>
        <w:rPr>
          <w:b/>
        </w:rPr>
        <w:instrText xml:space="preserve"> REF p3 \h </w:instrText>
      </w:r>
      <w:r>
        <w:rPr>
          <w:b/>
        </w:rPr>
      </w:r>
      <w:r>
        <w:rPr>
          <w:b/>
        </w:rPr>
        <w:fldChar w:fldCharType="separate"/>
      </w:r>
      <w:r w:rsidR="00F57B50" w:rsidRPr="00D77412">
        <w:rPr>
          <w:b/>
          <w:lang w:val="en-GB" w:eastAsia="en-US"/>
        </w:rPr>
        <w:t xml:space="preserve">Proposal </w:t>
      </w:r>
      <w:r w:rsidR="00F57B50">
        <w:rPr>
          <w:b/>
          <w:noProof/>
          <w:lang w:val="en-GB" w:eastAsia="en-US"/>
        </w:rPr>
        <w:t>3</w:t>
      </w:r>
      <w:r w:rsidR="00F57B50" w:rsidRPr="00D77412">
        <w:rPr>
          <w:b/>
          <w:lang w:val="en-GB" w:eastAsia="en-US"/>
        </w:rPr>
        <w:t xml:space="preserve">: Further study if non-adjacent </w:t>
      </w:r>
      <w:proofErr w:type="spellStart"/>
      <w:r w:rsidR="00F57B50" w:rsidRPr="00D77412">
        <w:rPr>
          <w:b/>
          <w:lang w:val="en-GB" w:eastAsia="en-US"/>
        </w:rPr>
        <w:t>subbands</w:t>
      </w:r>
      <w:proofErr w:type="spellEnd"/>
      <w:r w:rsidR="00F57B50" w:rsidRPr="00D77412">
        <w:rPr>
          <w:b/>
          <w:lang w:val="en-GB" w:eastAsia="en-US"/>
        </w:rPr>
        <w:t xml:space="preserve"> can be used in an active BWP in a COT.</w:t>
      </w:r>
    </w:p>
    <w:p w14:paraId="7D0A464A" w14:textId="77777777" w:rsidR="00F57B50" w:rsidRPr="00D77412" w:rsidRDefault="002F1063">
      <w:pPr>
        <w:rPr>
          <w:b/>
          <w:lang w:val="en-GB" w:eastAsia="en-US"/>
        </w:rPr>
      </w:pPr>
      <w:r>
        <w:rPr>
          <w:b/>
        </w:rPr>
        <w:fldChar w:fldCharType="end"/>
      </w:r>
      <w:r>
        <w:rPr>
          <w:b/>
        </w:rPr>
        <w:fldChar w:fldCharType="begin"/>
      </w:r>
      <w:r>
        <w:rPr>
          <w:b/>
        </w:rPr>
        <w:instrText xml:space="preserve"> REF p4 \h </w:instrText>
      </w:r>
      <w:r>
        <w:rPr>
          <w:b/>
        </w:rPr>
      </w:r>
      <w:r>
        <w:rPr>
          <w:b/>
        </w:rPr>
        <w:fldChar w:fldCharType="separate"/>
      </w:r>
      <w:r w:rsidR="00F57B50" w:rsidRPr="00D77412">
        <w:rPr>
          <w:b/>
          <w:lang w:val="en-GB" w:eastAsia="en-US"/>
        </w:rPr>
        <w:t xml:space="preserve">Proposal </w:t>
      </w:r>
      <w:r w:rsidR="00F57B50">
        <w:rPr>
          <w:b/>
          <w:noProof/>
          <w:lang w:val="en-GB" w:eastAsia="en-US"/>
        </w:rPr>
        <w:t>4</w:t>
      </w:r>
      <w:r w:rsidR="00F57B50" w:rsidRPr="00D77412">
        <w:rPr>
          <w:b/>
          <w:lang w:val="en-GB" w:eastAsia="en-US"/>
        </w:rPr>
        <w:t xml:space="preserve">: Rel.15 NR wideband multi-cluster coreset can be used to support </w:t>
      </w:r>
      <w:proofErr w:type="spellStart"/>
      <w:r w:rsidR="00F57B50" w:rsidRPr="00D77412">
        <w:rPr>
          <w:b/>
          <w:lang w:val="en-GB" w:eastAsia="en-US"/>
        </w:rPr>
        <w:t>subband</w:t>
      </w:r>
      <w:proofErr w:type="spellEnd"/>
      <w:r w:rsidR="00F57B50" w:rsidRPr="00D77412">
        <w:rPr>
          <w:b/>
          <w:lang w:val="en-GB" w:eastAsia="en-US"/>
        </w:rPr>
        <w:t xml:space="preserve"> based access of wideband BWP.</w:t>
      </w:r>
    </w:p>
    <w:p w14:paraId="613E17AB" w14:textId="77777777" w:rsidR="00F57B50" w:rsidRPr="00D77412" w:rsidRDefault="002F1063">
      <w:pPr>
        <w:rPr>
          <w:b/>
          <w:lang w:val="en-GB" w:eastAsia="en-US"/>
        </w:rPr>
      </w:pPr>
      <w:r>
        <w:rPr>
          <w:b/>
        </w:rPr>
        <w:fldChar w:fldCharType="end"/>
      </w:r>
      <w:r>
        <w:rPr>
          <w:b/>
        </w:rPr>
        <w:fldChar w:fldCharType="begin"/>
      </w:r>
      <w:r>
        <w:rPr>
          <w:b/>
        </w:rPr>
        <w:instrText xml:space="preserve"> REF p5 \h </w:instrText>
      </w:r>
      <w:r>
        <w:rPr>
          <w:b/>
        </w:rPr>
      </w:r>
      <w:r>
        <w:rPr>
          <w:b/>
        </w:rPr>
        <w:fldChar w:fldCharType="separate"/>
      </w:r>
      <w:r w:rsidR="00F57B50" w:rsidRPr="00D77412">
        <w:rPr>
          <w:b/>
          <w:lang w:val="en-GB" w:eastAsia="en-US"/>
        </w:rPr>
        <w:t xml:space="preserve">Proposal </w:t>
      </w:r>
      <w:r w:rsidR="00F57B50">
        <w:rPr>
          <w:b/>
          <w:noProof/>
          <w:lang w:val="en-GB" w:eastAsia="en-US"/>
        </w:rPr>
        <w:t>5</w:t>
      </w:r>
      <w:r w:rsidR="00F57B50" w:rsidRPr="00D77412">
        <w:rPr>
          <w:b/>
          <w:lang w:val="en-GB" w:eastAsia="en-US"/>
        </w:rPr>
        <w:t xml:space="preserve">. Include the </w:t>
      </w:r>
      <w:proofErr w:type="spellStart"/>
      <w:r w:rsidR="00F57B50" w:rsidRPr="00D77412">
        <w:rPr>
          <w:b/>
          <w:lang w:val="en-GB" w:eastAsia="en-US"/>
        </w:rPr>
        <w:t>subband</w:t>
      </w:r>
      <w:proofErr w:type="spellEnd"/>
      <w:r w:rsidR="00F57B50" w:rsidRPr="00D77412">
        <w:rPr>
          <w:b/>
          <w:lang w:val="en-GB" w:eastAsia="en-US"/>
        </w:rPr>
        <w:t xml:space="preserve"> usage information </w:t>
      </w:r>
      <w:r w:rsidR="00F57B50">
        <w:rPr>
          <w:b/>
          <w:lang w:val="en-GB" w:eastAsia="en-US"/>
        </w:rPr>
        <w:t>as part of</w:t>
      </w:r>
      <w:r w:rsidR="00F57B50" w:rsidRPr="00D77412">
        <w:rPr>
          <w:b/>
          <w:lang w:val="en-GB" w:eastAsia="en-US"/>
        </w:rPr>
        <w:t xml:space="preserve"> the COT structure indication.</w:t>
      </w:r>
    </w:p>
    <w:p w14:paraId="7BDFD875" w14:textId="77777777" w:rsidR="00F57B50" w:rsidRPr="00787477" w:rsidRDefault="002F1063" w:rsidP="00787477">
      <w:pPr>
        <w:rPr>
          <w:b/>
          <w:lang w:val="en-GB" w:eastAsia="en-US"/>
        </w:rPr>
      </w:pPr>
      <w:r>
        <w:rPr>
          <w:b/>
        </w:rPr>
        <w:fldChar w:fldCharType="end"/>
      </w:r>
      <w:r>
        <w:rPr>
          <w:b/>
        </w:rPr>
        <w:fldChar w:fldCharType="begin"/>
      </w:r>
      <w:r>
        <w:rPr>
          <w:b/>
        </w:rPr>
        <w:instrText xml:space="preserve"> REF p6 \h </w:instrText>
      </w:r>
      <w:r>
        <w:rPr>
          <w:b/>
        </w:rPr>
      </w:r>
      <w:r>
        <w:rPr>
          <w:b/>
        </w:rPr>
        <w:fldChar w:fldCharType="separate"/>
      </w:r>
      <w:r w:rsidR="00F57B50" w:rsidRPr="00787477">
        <w:rPr>
          <w:b/>
          <w:lang w:val="en-GB" w:eastAsia="en-US"/>
        </w:rPr>
        <w:t>Proposal</w:t>
      </w:r>
      <w:r w:rsidR="00F57B50">
        <w:rPr>
          <w:b/>
          <w:lang w:val="en-GB" w:eastAsia="en-US"/>
        </w:rPr>
        <w:t xml:space="preserve"> </w:t>
      </w:r>
      <w:r w:rsidR="00F57B50">
        <w:rPr>
          <w:b/>
          <w:noProof/>
          <w:snapToGrid w:val="0"/>
          <w:kern w:val="0"/>
          <w:szCs w:val="20"/>
          <w:lang w:val="en-GB" w:eastAsia="en-US"/>
        </w:rPr>
        <w:t>6</w:t>
      </w:r>
      <w:r w:rsidR="00F57B50" w:rsidRPr="00787477">
        <w:rPr>
          <w:b/>
          <w:lang w:val="en-GB" w:eastAsia="en-US"/>
        </w:rPr>
        <w:t xml:space="preserve">: NR-U supports Option </w:t>
      </w:r>
      <w:r w:rsidR="00F57B50">
        <w:rPr>
          <w:b/>
          <w:lang w:val="en-GB" w:eastAsia="en-US"/>
        </w:rPr>
        <w:t>2</w:t>
      </w:r>
      <w:r w:rsidR="00F57B50" w:rsidRPr="00787477">
        <w:rPr>
          <w:b/>
          <w:lang w:val="en-GB" w:eastAsia="en-US"/>
        </w:rPr>
        <w:t xml:space="preserve"> for</w:t>
      </w:r>
      <w:r w:rsidR="00F57B50">
        <w:rPr>
          <w:b/>
          <w:lang w:val="en-GB" w:eastAsia="en-US"/>
        </w:rPr>
        <w:t xml:space="preserve"> U</w:t>
      </w:r>
      <w:r w:rsidR="00F57B50" w:rsidRPr="00787477">
        <w:rPr>
          <w:b/>
          <w:lang w:val="en-GB" w:eastAsia="en-US"/>
        </w:rPr>
        <w:t>L wideband BWP</w:t>
      </w:r>
      <w:r w:rsidR="00F57B50">
        <w:rPr>
          <w:b/>
          <w:lang w:val="en-GB" w:eastAsia="en-US"/>
        </w:rPr>
        <w:t xml:space="preserve"> operation. </w:t>
      </w:r>
    </w:p>
    <w:p w14:paraId="59501D2F" w14:textId="4CED58FE" w:rsidR="002F1063" w:rsidRDefault="002F1063" w:rsidP="00601374">
      <w:pPr>
        <w:pStyle w:val="LGTdoc1"/>
        <w:kinsoku w:val="0"/>
        <w:overflowPunct w:val="0"/>
        <w:spacing w:beforeLines="0" w:before="120" w:after="0" w:afterAutospacing="0"/>
        <w:rPr>
          <w:b w:val="0"/>
          <w:sz w:val="20"/>
        </w:rPr>
      </w:pPr>
      <w:r>
        <w:rPr>
          <w:b w:val="0"/>
          <w:sz w:val="20"/>
        </w:rPr>
        <w:fldChar w:fldCharType="end"/>
      </w:r>
    </w:p>
    <w:p w14:paraId="47A6B625" w14:textId="3D1C781A" w:rsidR="00E77804" w:rsidRDefault="00E77804" w:rsidP="00601374">
      <w:pPr>
        <w:pStyle w:val="Heading1"/>
        <w:kinsoku w:val="0"/>
        <w:spacing w:after="0"/>
      </w:pPr>
      <w:r>
        <w:t>References</w:t>
      </w:r>
    </w:p>
    <w:p w14:paraId="2DFA7387" w14:textId="09F1C9BA" w:rsidR="007560B7" w:rsidRDefault="00E77804" w:rsidP="00601374">
      <w:pPr>
        <w:pStyle w:val="LGTdoc1"/>
        <w:kinsoku w:val="0"/>
        <w:overflowPunct w:val="0"/>
        <w:spacing w:before="120" w:after="0" w:afterAutospacing="0"/>
        <w:rPr>
          <w:b w:val="0"/>
          <w:sz w:val="20"/>
        </w:rPr>
      </w:pPr>
      <w:r w:rsidRPr="0099677A">
        <w:rPr>
          <w:b w:val="0"/>
          <w:sz w:val="20"/>
        </w:rPr>
        <w:t xml:space="preserve">[1] </w:t>
      </w:r>
      <w:bookmarkStart w:id="12" w:name="_Hlk506453951"/>
      <w:r w:rsidR="00B559A2" w:rsidRPr="0099677A">
        <w:rPr>
          <w:b w:val="0"/>
          <w:sz w:val="20"/>
        </w:rPr>
        <w:t xml:space="preserve">RP-172021, </w:t>
      </w:r>
      <w:r w:rsidR="001D3F02" w:rsidRPr="0099677A">
        <w:rPr>
          <w:b w:val="0"/>
          <w:sz w:val="20"/>
        </w:rPr>
        <w:t>“</w:t>
      </w:r>
      <w:r w:rsidR="00B559A2" w:rsidRPr="0099677A">
        <w:rPr>
          <w:b w:val="0"/>
          <w:sz w:val="20"/>
        </w:rPr>
        <w:t>Revised SID on NR-based Access to Unlicensed Spectrum</w:t>
      </w:r>
      <w:bookmarkStart w:id="13" w:name="_Hlk506208058"/>
      <w:r w:rsidR="001D3F02" w:rsidRPr="0099677A">
        <w:rPr>
          <w:b w:val="0"/>
          <w:sz w:val="20"/>
        </w:rPr>
        <w:t>”</w:t>
      </w:r>
      <w:r w:rsidR="00B559A2" w:rsidRPr="0099677A">
        <w:rPr>
          <w:b w:val="0"/>
          <w:sz w:val="20"/>
        </w:rPr>
        <w:t>, Qualcomm Incorporated, RAN#77</w:t>
      </w:r>
      <w:bookmarkEnd w:id="13"/>
      <w:r w:rsidR="00947B6C" w:rsidRPr="0099677A">
        <w:rPr>
          <w:b w:val="0"/>
          <w:sz w:val="20"/>
        </w:rPr>
        <w:t>, Sapporo, Japan, 11-14 Sep. 2017.</w:t>
      </w:r>
    </w:p>
    <w:p w14:paraId="5F79DCE6" w14:textId="77777777" w:rsidR="00C21996" w:rsidRDefault="00847992" w:rsidP="00601374">
      <w:pPr>
        <w:pStyle w:val="LGTdoc1"/>
        <w:kinsoku w:val="0"/>
        <w:overflowPunct w:val="0"/>
        <w:spacing w:before="120" w:after="0" w:afterAutospacing="0"/>
        <w:rPr>
          <w:b w:val="0"/>
          <w:sz w:val="20"/>
        </w:rPr>
      </w:pPr>
      <w:r w:rsidRPr="00522BEB">
        <w:rPr>
          <w:b w:val="0"/>
          <w:sz w:val="20"/>
        </w:rPr>
        <w:t>[2] RP-181339, “Revised SID on NR-based Access to Unlicensed Spectrum”, Qualcomm Incorporated, RAN#80, La Jolla, USA, June 11-14, 2018.</w:t>
      </w:r>
    </w:p>
    <w:p w14:paraId="64F80C46" w14:textId="034093FC" w:rsidR="003B7920" w:rsidRDefault="003B7920" w:rsidP="00601374">
      <w:pPr>
        <w:pStyle w:val="LGTdoc1"/>
        <w:kinsoku w:val="0"/>
        <w:overflowPunct w:val="0"/>
        <w:spacing w:before="120" w:after="0" w:afterAutospacing="0"/>
        <w:rPr>
          <w:b w:val="0"/>
          <w:sz w:val="20"/>
        </w:rPr>
      </w:pPr>
      <w:r>
        <w:rPr>
          <w:b w:val="0"/>
          <w:sz w:val="20"/>
        </w:rPr>
        <w:t>[</w:t>
      </w:r>
      <w:r w:rsidR="00847992">
        <w:rPr>
          <w:b w:val="0"/>
          <w:sz w:val="20"/>
        </w:rPr>
        <w:t>3</w:t>
      </w:r>
      <w:r>
        <w:rPr>
          <w:b w:val="0"/>
          <w:sz w:val="20"/>
        </w:rPr>
        <w:t>]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4506C9D1" w14:textId="01CE2912" w:rsidR="0077537A" w:rsidRPr="0099677A" w:rsidRDefault="0077537A" w:rsidP="00601374">
      <w:pPr>
        <w:pStyle w:val="LGTdoc1"/>
        <w:kinsoku w:val="0"/>
        <w:overflowPunct w:val="0"/>
        <w:spacing w:before="120" w:after="0" w:afterAutospacing="0"/>
        <w:rPr>
          <w:b w:val="0"/>
          <w:sz w:val="20"/>
        </w:rPr>
      </w:pPr>
      <w:r>
        <w:rPr>
          <w:b w:val="0"/>
          <w:sz w:val="20"/>
        </w:rPr>
        <w:t>[</w:t>
      </w:r>
      <w:r w:rsidR="00847992">
        <w:rPr>
          <w:b w:val="0"/>
          <w:sz w:val="20"/>
        </w:rPr>
        <w:t>4</w:t>
      </w:r>
      <w:r>
        <w:rPr>
          <w:b w:val="0"/>
          <w:sz w:val="20"/>
        </w:rPr>
        <w:t>] R1-18</w:t>
      </w:r>
      <w:r w:rsidR="00D7190A">
        <w:rPr>
          <w:b w:val="0"/>
          <w:sz w:val="20"/>
        </w:rPr>
        <w:t>0</w:t>
      </w:r>
      <w:r w:rsidR="00876D6D">
        <w:rPr>
          <w:b w:val="0"/>
          <w:sz w:val="20"/>
        </w:rPr>
        <w:t>7389</w:t>
      </w:r>
      <w:r>
        <w:rPr>
          <w:b w:val="0"/>
          <w:sz w:val="20"/>
        </w:rPr>
        <w:t>, “</w:t>
      </w:r>
      <w:r w:rsidR="00876D6D" w:rsidRPr="00876D6D">
        <w:rPr>
          <w:b w:val="0"/>
          <w:sz w:val="20"/>
        </w:rPr>
        <w:t>Channel access procedures for NR unlicensed</w:t>
      </w:r>
      <w:r w:rsidRPr="0099677A">
        <w:rPr>
          <w:b w:val="0"/>
          <w:sz w:val="20"/>
        </w:rPr>
        <w:t>”, Qualcomm Incorporated, RAN</w:t>
      </w:r>
      <w:r>
        <w:rPr>
          <w:b w:val="0"/>
          <w:sz w:val="20"/>
        </w:rPr>
        <w:t>1#9</w:t>
      </w:r>
      <w:r w:rsidR="00876D6D">
        <w:rPr>
          <w:b w:val="0"/>
          <w:sz w:val="20"/>
        </w:rPr>
        <w:t>3</w:t>
      </w:r>
      <w:r w:rsidRPr="0099677A">
        <w:rPr>
          <w:b w:val="0"/>
          <w:sz w:val="20"/>
        </w:rPr>
        <w:t xml:space="preserve">, </w:t>
      </w:r>
      <w:r w:rsidR="00876D6D">
        <w:rPr>
          <w:b w:val="0"/>
          <w:sz w:val="20"/>
        </w:rPr>
        <w:t>Busan, Korea</w:t>
      </w:r>
    </w:p>
    <w:bookmarkEnd w:id="12"/>
    <w:p w14:paraId="54FCC4B1" w14:textId="7A76D3F6" w:rsidR="003A4E18" w:rsidRDefault="003A4E18" w:rsidP="00601374">
      <w:pPr>
        <w:pStyle w:val="LGTdoc1"/>
        <w:kinsoku w:val="0"/>
        <w:overflowPunct w:val="0"/>
        <w:spacing w:before="120" w:after="0" w:afterAutospacing="0"/>
        <w:rPr>
          <w:b w:val="0"/>
          <w:sz w:val="20"/>
        </w:rPr>
      </w:pPr>
      <w:r w:rsidRPr="00C21996">
        <w:rPr>
          <w:b w:val="0"/>
          <w:sz w:val="20"/>
        </w:rPr>
        <w:t>[5] Chairman’s Notes RAN1 93 final, Busan, Korea, May 21–25, 2018.</w:t>
      </w:r>
    </w:p>
    <w:p w14:paraId="5DC28D14" w14:textId="4B07D365" w:rsidR="005B39FE" w:rsidRPr="00C21996" w:rsidRDefault="005B39FE" w:rsidP="005B39FE">
      <w:pPr>
        <w:pStyle w:val="LGTdoc1"/>
        <w:kinsoku w:val="0"/>
        <w:overflowPunct w:val="0"/>
        <w:spacing w:before="120" w:after="0" w:afterAutospacing="0"/>
        <w:rPr>
          <w:b w:val="0"/>
          <w:sz w:val="20"/>
        </w:rPr>
      </w:pPr>
      <w:r w:rsidRPr="00C21996">
        <w:rPr>
          <w:b w:val="0"/>
          <w:sz w:val="20"/>
        </w:rPr>
        <w:t>[</w:t>
      </w:r>
      <w:r>
        <w:rPr>
          <w:b w:val="0"/>
          <w:sz w:val="20"/>
        </w:rPr>
        <w:t>6</w:t>
      </w:r>
      <w:r w:rsidRPr="00C21996">
        <w:rPr>
          <w:b w:val="0"/>
          <w:sz w:val="20"/>
        </w:rPr>
        <w:t>] Chairman’s Notes RAN1 9</w:t>
      </w:r>
      <w:r>
        <w:rPr>
          <w:b w:val="0"/>
          <w:sz w:val="20"/>
        </w:rPr>
        <w:t>4</w:t>
      </w:r>
      <w:r w:rsidRPr="00C21996">
        <w:rPr>
          <w:b w:val="0"/>
          <w:sz w:val="20"/>
        </w:rPr>
        <w:t xml:space="preserve"> final, </w:t>
      </w:r>
      <w:r>
        <w:rPr>
          <w:b w:val="0"/>
          <w:sz w:val="20"/>
        </w:rPr>
        <w:t>Gothenburg</w:t>
      </w:r>
      <w:r w:rsidRPr="00C21996">
        <w:rPr>
          <w:b w:val="0"/>
          <w:sz w:val="20"/>
        </w:rPr>
        <w:t xml:space="preserve">, </w:t>
      </w:r>
      <w:r>
        <w:rPr>
          <w:b w:val="0"/>
          <w:sz w:val="20"/>
        </w:rPr>
        <w:t>Sweden</w:t>
      </w:r>
      <w:r w:rsidRPr="00C21996">
        <w:rPr>
          <w:b w:val="0"/>
          <w:sz w:val="20"/>
        </w:rPr>
        <w:t xml:space="preserve">, </w:t>
      </w:r>
      <w:r w:rsidR="00A146B4">
        <w:rPr>
          <w:b w:val="0"/>
          <w:sz w:val="20"/>
        </w:rPr>
        <w:t>Aug.</w:t>
      </w:r>
      <w:r w:rsidRPr="00C21996">
        <w:rPr>
          <w:b w:val="0"/>
          <w:sz w:val="20"/>
        </w:rPr>
        <w:t xml:space="preserve"> 2</w:t>
      </w:r>
      <w:r w:rsidR="00A146B4">
        <w:rPr>
          <w:b w:val="0"/>
          <w:sz w:val="20"/>
        </w:rPr>
        <w:t>0</w:t>
      </w:r>
      <w:r w:rsidRPr="00C21996">
        <w:rPr>
          <w:b w:val="0"/>
          <w:sz w:val="20"/>
        </w:rPr>
        <w:t>–2</w:t>
      </w:r>
      <w:r w:rsidR="00A146B4">
        <w:rPr>
          <w:b w:val="0"/>
          <w:sz w:val="20"/>
        </w:rPr>
        <w:t>4</w:t>
      </w:r>
      <w:r w:rsidRPr="00C21996">
        <w:rPr>
          <w:b w:val="0"/>
          <w:sz w:val="20"/>
        </w:rPr>
        <w:t>, 2018.</w:t>
      </w:r>
    </w:p>
    <w:p w14:paraId="0BAB1CF9" w14:textId="1B5F740A" w:rsidR="005B39FE" w:rsidRPr="00C21996" w:rsidRDefault="005B39FE" w:rsidP="005B39FE">
      <w:pPr>
        <w:pStyle w:val="LGTdoc1"/>
        <w:kinsoku w:val="0"/>
        <w:overflowPunct w:val="0"/>
        <w:spacing w:before="120" w:after="0" w:afterAutospacing="0"/>
        <w:rPr>
          <w:b w:val="0"/>
          <w:sz w:val="20"/>
        </w:rPr>
      </w:pPr>
      <w:r w:rsidRPr="00C21996">
        <w:rPr>
          <w:b w:val="0"/>
          <w:sz w:val="20"/>
        </w:rPr>
        <w:t>[</w:t>
      </w:r>
      <w:r>
        <w:rPr>
          <w:b w:val="0"/>
          <w:sz w:val="20"/>
        </w:rPr>
        <w:t>7</w:t>
      </w:r>
      <w:r w:rsidRPr="00C21996">
        <w:rPr>
          <w:b w:val="0"/>
          <w:sz w:val="20"/>
        </w:rPr>
        <w:t>] Chairman’s Notes RAN1 9</w:t>
      </w:r>
      <w:r>
        <w:rPr>
          <w:b w:val="0"/>
          <w:sz w:val="20"/>
        </w:rPr>
        <w:t>4bis f</w:t>
      </w:r>
      <w:r w:rsidRPr="00C21996">
        <w:rPr>
          <w:b w:val="0"/>
          <w:sz w:val="20"/>
        </w:rPr>
        <w:t xml:space="preserve">inal, </w:t>
      </w:r>
      <w:r>
        <w:rPr>
          <w:b w:val="0"/>
          <w:sz w:val="20"/>
        </w:rPr>
        <w:t>Chengdu</w:t>
      </w:r>
      <w:r w:rsidRPr="00C21996">
        <w:rPr>
          <w:b w:val="0"/>
          <w:sz w:val="20"/>
        </w:rPr>
        <w:t xml:space="preserve">, </w:t>
      </w:r>
      <w:r>
        <w:rPr>
          <w:b w:val="0"/>
          <w:sz w:val="20"/>
        </w:rPr>
        <w:t>China</w:t>
      </w:r>
      <w:r w:rsidRPr="00C21996">
        <w:rPr>
          <w:b w:val="0"/>
          <w:sz w:val="20"/>
        </w:rPr>
        <w:t xml:space="preserve">, </w:t>
      </w:r>
      <w:r>
        <w:rPr>
          <w:b w:val="0"/>
          <w:sz w:val="20"/>
        </w:rPr>
        <w:t>Oct.</w:t>
      </w:r>
      <w:r w:rsidRPr="00C21996">
        <w:rPr>
          <w:b w:val="0"/>
          <w:sz w:val="20"/>
        </w:rPr>
        <w:t xml:space="preserve"> </w:t>
      </w:r>
      <w:r>
        <w:rPr>
          <w:b w:val="0"/>
          <w:sz w:val="20"/>
        </w:rPr>
        <w:t>8</w:t>
      </w:r>
      <w:r w:rsidRPr="00C21996">
        <w:rPr>
          <w:b w:val="0"/>
          <w:sz w:val="20"/>
        </w:rPr>
        <w:t>–</w:t>
      </w:r>
      <w:r>
        <w:rPr>
          <w:b w:val="0"/>
          <w:sz w:val="20"/>
        </w:rPr>
        <w:t>12</w:t>
      </w:r>
      <w:r w:rsidRPr="00C21996">
        <w:rPr>
          <w:b w:val="0"/>
          <w:sz w:val="20"/>
        </w:rPr>
        <w:t>, 2018.</w:t>
      </w:r>
    </w:p>
    <w:p w14:paraId="3BAE6D31" w14:textId="77777777" w:rsidR="005B39FE" w:rsidRPr="00C21996" w:rsidRDefault="005B39FE" w:rsidP="00601374">
      <w:pPr>
        <w:pStyle w:val="LGTdoc1"/>
        <w:kinsoku w:val="0"/>
        <w:overflowPunct w:val="0"/>
        <w:spacing w:before="120" w:after="0" w:afterAutospacing="0"/>
        <w:rPr>
          <w:b w:val="0"/>
          <w:sz w:val="20"/>
        </w:rPr>
      </w:pPr>
    </w:p>
    <w:bookmarkEnd w:id="0"/>
    <w:p w14:paraId="2451782E" w14:textId="77777777" w:rsidR="00BB6420" w:rsidRDefault="00BB6420" w:rsidP="00601374">
      <w:pPr>
        <w:pStyle w:val="LGTdoc1"/>
        <w:kinsoku w:val="0"/>
        <w:overflowPunct w:val="0"/>
        <w:spacing w:before="120" w:after="0" w:afterAutospacing="0"/>
        <w:rPr>
          <w:b w:val="0"/>
          <w:sz w:val="22"/>
          <w:szCs w:val="22"/>
        </w:rPr>
      </w:pPr>
    </w:p>
    <w:sectPr w:rsidR="00BB6420"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404451" w:rsidRDefault="00404451">
      <w:r>
        <w:separator/>
      </w:r>
    </w:p>
    <w:p w14:paraId="1AD05402" w14:textId="77777777" w:rsidR="00404451" w:rsidRDefault="00404451"/>
    <w:p w14:paraId="45339835" w14:textId="77777777" w:rsidR="00404451" w:rsidRDefault="00404451"/>
    <w:p w14:paraId="34587337" w14:textId="77777777" w:rsidR="00463AF1" w:rsidRDefault="00463AF1"/>
  </w:endnote>
  <w:endnote w:type="continuationSeparator" w:id="0">
    <w:p w14:paraId="5E1E2E82" w14:textId="77777777" w:rsidR="00404451" w:rsidRDefault="00404451">
      <w:r>
        <w:continuationSeparator/>
      </w:r>
    </w:p>
    <w:p w14:paraId="46EB16C1" w14:textId="77777777" w:rsidR="00404451" w:rsidRDefault="00404451"/>
    <w:p w14:paraId="43D4C8AC" w14:textId="77777777" w:rsidR="00404451" w:rsidRDefault="00404451"/>
    <w:p w14:paraId="0CB31EBA" w14:textId="77777777" w:rsidR="00463AF1" w:rsidRDefault="00463AF1"/>
  </w:endnote>
  <w:endnote w:type="continuationNotice" w:id="1">
    <w:p w14:paraId="46ED9A90" w14:textId="77777777" w:rsidR="00404451" w:rsidRDefault="00404451"/>
    <w:p w14:paraId="244F6C24" w14:textId="77777777" w:rsidR="00404451" w:rsidRDefault="00404451"/>
    <w:p w14:paraId="15F47527" w14:textId="77777777" w:rsidR="00404451" w:rsidRDefault="00404451"/>
    <w:p w14:paraId="31D144A1" w14:textId="77777777" w:rsidR="00463AF1" w:rsidRDefault="00463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Calibri"/>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p w14:paraId="555FE5D1" w14:textId="77777777" w:rsidR="00463AF1" w:rsidRDefault="00463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D6A">
      <w:rPr>
        <w:rStyle w:val="PageNumber"/>
        <w:noProof/>
      </w:rPr>
      <w:t>1</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p w14:paraId="7C4D0363" w14:textId="77777777" w:rsidR="00463AF1" w:rsidRDefault="00463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404451" w:rsidRDefault="00404451">
      <w:r>
        <w:separator/>
      </w:r>
    </w:p>
    <w:p w14:paraId="0054C6A5" w14:textId="77777777" w:rsidR="00404451" w:rsidRDefault="00404451"/>
    <w:p w14:paraId="4F555EF0" w14:textId="77777777" w:rsidR="00404451" w:rsidRDefault="00404451"/>
    <w:p w14:paraId="76FA0DD6" w14:textId="77777777" w:rsidR="00463AF1" w:rsidRDefault="00463AF1"/>
  </w:footnote>
  <w:footnote w:type="continuationSeparator" w:id="0">
    <w:p w14:paraId="2F19D222" w14:textId="77777777" w:rsidR="00404451" w:rsidRDefault="00404451">
      <w:r>
        <w:continuationSeparator/>
      </w:r>
    </w:p>
    <w:p w14:paraId="0C9F3D65" w14:textId="77777777" w:rsidR="00404451" w:rsidRDefault="00404451"/>
    <w:p w14:paraId="5402F367" w14:textId="77777777" w:rsidR="00404451" w:rsidRDefault="00404451"/>
    <w:p w14:paraId="7F0166B8" w14:textId="77777777" w:rsidR="00463AF1" w:rsidRDefault="00463AF1"/>
  </w:footnote>
  <w:footnote w:type="continuationNotice" w:id="1">
    <w:p w14:paraId="1977B3CE" w14:textId="77777777" w:rsidR="00404451" w:rsidRDefault="00404451"/>
    <w:p w14:paraId="20399F9C" w14:textId="77777777" w:rsidR="00404451" w:rsidRDefault="00404451"/>
    <w:p w14:paraId="5DACD8DF" w14:textId="77777777" w:rsidR="00404451" w:rsidRDefault="00404451"/>
    <w:p w14:paraId="62B34C85" w14:textId="77777777" w:rsidR="00463AF1" w:rsidRDefault="00463A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C07C31"/>
    <w:multiLevelType w:val="hybridMultilevel"/>
    <w:tmpl w:val="518C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1FBE"/>
    <w:multiLevelType w:val="hybridMultilevel"/>
    <w:tmpl w:val="7FA45C2E"/>
    <w:lvl w:ilvl="0" w:tplc="5D14296C">
      <w:start w:val="3"/>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22D6B4F"/>
    <w:multiLevelType w:val="hybridMultilevel"/>
    <w:tmpl w:val="E304C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41EF"/>
    <w:multiLevelType w:val="multilevel"/>
    <w:tmpl w:val="9686302C"/>
    <w:lvl w:ilvl="0">
      <w:start w:val="1"/>
      <w:numFmt w:val="decimal"/>
      <w:lvlText w:val="%1."/>
      <w:lvlJc w:val="left"/>
      <w:pPr>
        <w:ind w:left="720" w:hanging="360"/>
      </w:pPr>
    </w:lvl>
    <w:lvl w:ilvl="1">
      <w:start w:val="3"/>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18B502DD"/>
    <w:multiLevelType w:val="hybridMultilevel"/>
    <w:tmpl w:val="27B0DB08"/>
    <w:lvl w:ilvl="0" w:tplc="CB32EDF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E135538"/>
    <w:multiLevelType w:val="hybridMultilevel"/>
    <w:tmpl w:val="A12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7A21A6"/>
    <w:multiLevelType w:val="hybridMultilevel"/>
    <w:tmpl w:val="4E7E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8C2D03"/>
    <w:multiLevelType w:val="hybridMultilevel"/>
    <w:tmpl w:val="3BAA3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712E0"/>
    <w:multiLevelType w:val="hybridMultilevel"/>
    <w:tmpl w:val="8CC2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4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4B4363"/>
    <w:multiLevelType w:val="hybridMultilevel"/>
    <w:tmpl w:val="F61AF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1398B"/>
    <w:multiLevelType w:val="hybridMultilevel"/>
    <w:tmpl w:val="882A44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11"/>
  </w:num>
  <w:num w:numId="3">
    <w:abstractNumId w:val="29"/>
  </w:num>
  <w:num w:numId="4">
    <w:abstractNumId w:val="44"/>
  </w:num>
  <w:num w:numId="5">
    <w:abstractNumId w:val="46"/>
  </w:num>
  <w:num w:numId="6">
    <w:abstractNumId w:val="1"/>
  </w:num>
  <w:num w:numId="7">
    <w:abstractNumId w:val="47"/>
  </w:num>
  <w:num w:numId="8">
    <w:abstractNumId w:val="39"/>
  </w:num>
  <w:num w:numId="9">
    <w:abstractNumId w:val="34"/>
  </w:num>
  <w:num w:numId="10">
    <w:abstractNumId w:val="36"/>
  </w:num>
  <w:num w:numId="11">
    <w:abstractNumId w:val="28"/>
  </w:num>
  <w:num w:numId="12">
    <w:abstractNumId w:val="26"/>
  </w:num>
  <w:num w:numId="13">
    <w:abstractNumId w:val="0"/>
  </w:num>
  <w:num w:numId="14">
    <w:abstractNumId w:val="14"/>
  </w:num>
  <w:num w:numId="15">
    <w:abstractNumId w:val="13"/>
  </w:num>
  <w:num w:numId="16">
    <w:abstractNumId w:val="42"/>
  </w:num>
  <w:num w:numId="17">
    <w:abstractNumId w:val="24"/>
  </w:num>
  <w:num w:numId="18">
    <w:abstractNumId w:val="10"/>
  </w:num>
  <w:num w:numId="19">
    <w:abstractNumId w:val="30"/>
  </w:num>
  <w:num w:numId="20">
    <w:abstractNumId w:val="31"/>
  </w:num>
  <w:num w:numId="21">
    <w:abstractNumId w:val="16"/>
  </w:num>
  <w:num w:numId="22">
    <w:abstractNumId w:val="3"/>
  </w:num>
  <w:num w:numId="23">
    <w:abstractNumId w:val="17"/>
  </w:num>
  <w:num w:numId="24">
    <w:abstractNumId w:val="8"/>
  </w:num>
  <w:num w:numId="25">
    <w:abstractNumId w:val="33"/>
  </w:num>
  <w:num w:numId="26">
    <w:abstractNumId w:val="7"/>
  </w:num>
  <w:num w:numId="27">
    <w:abstractNumId w:val="22"/>
  </w:num>
  <w:num w:numId="28">
    <w:abstractNumId w:val="25"/>
  </w:num>
  <w:num w:numId="29">
    <w:abstractNumId w:val="43"/>
  </w:num>
  <w:num w:numId="30">
    <w:abstractNumId w:val="18"/>
  </w:num>
  <w:num w:numId="31">
    <w:abstractNumId w:val="38"/>
  </w:num>
  <w:num w:numId="32">
    <w:abstractNumId w:val="19"/>
  </w:num>
  <w:num w:numId="33">
    <w:abstractNumId w:val="45"/>
  </w:num>
  <w:num w:numId="34">
    <w:abstractNumId w:val="32"/>
  </w:num>
  <w:num w:numId="35">
    <w:abstractNumId w:val="27"/>
  </w:num>
  <w:num w:numId="36">
    <w:abstractNumId w:val="23"/>
  </w:num>
  <w:num w:numId="37">
    <w:abstractNumId w:val="12"/>
  </w:num>
  <w:num w:numId="38">
    <w:abstractNumId w:val="35"/>
  </w:num>
  <w:num w:numId="39">
    <w:abstractNumId w:val="40"/>
  </w:num>
  <w:num w:numId="40">
    <w:abstractNumId w:val="37"/>
  </w:num>
  <w:num w:numId="41">
    <w:abstractNumId w:val="41"/>
  </w:num>
  <w:num w:numId="42">
    <w:abstractNumId w:val="20"/>
  </w:num>
  <w:num w:numId="43">
    <w:abstractNumId w:val="21"/>
  </w:num>
  <w:num w:numId="44">
    <w:abstractNumId w:val="2"/>
  </w:num>
  <w:num w:numId="45">
    <w:abstractNumId w:val="6"/>
  </w:num>
  <w:num w:numId="46">
    <w:abstractNumId w:val="5"/>
  </w:num>
  <w:num w:numId="47">
    <w:abstractNumId w:val="9"/>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D6A"/>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3EQ6UJ4K66FU-4-34090</_dlc_DocId>
    <_dlc_DocIdUrl xmlns="df4eea7b-52db-4162-980b-b352f1b580a3">
      <Url>https://projects.qualcomm.com/sites/meridian/_layouts/15/DocIdRedir.aspx?ID=3EQ6UJ4K66FU-4-34090</Url>
      <Description>3EQ6UJ4K66FU-4-34090</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terms/"/>
    <ds:schemaRef ds:uri="http://schemas.microsoft.com/office/2006/documentManagement/types"/>
    <ds:schemaRef ds:uri="http://schemas.microsoft.com/office/infopath/2007/PartnerControls"/>
    <ds:schemaRef ds:uri="http://schemas.microsoft.com/sharepoint/v4"/>
    <ds:schemaRef ds:uri="http://purl.org/dc/elements/1.1/"/>
    <ds:schemaRef ds:uri="http://schemas.microsoft.com/office/2006/metadata/properties"/>
    <ds:schemaRef ds:uri="http://www.w3.org/XML/1998/namespace"/>
    <ds:schemaRef ds:uri="http://schemas.openxmlformats.org/package/2006/metadata/core-properties"/>
    <ds:schemaRef ds:uri="df4eea7b-52db-4162-980b-b352f1b580a3"/>
    <ds:schemaRef ds:uri="http://purl.org/dc/dcmitype/"/>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4F9A2E-4CC5-4AEB-888F-5A153463A72D}">
  <ds:schemaRefs>
    <ds:schemaRef ds:uri="http://schemas.openxmlformats.org/officeDocument/2006/bibliography"/>
  </ds:schemaRefs>
</ds:datastoreItem>
</file>

<file path=customXml/itemProps6.xml><?xml version="1.0" encoding="utf-8"?>
<ds:datastoreItem xmlns:ds="http://schemas.openxmlformats.org/officeDocument/2006/customXml" ds:itemID="{C3D13A2A-C49F-40A9-B97B-BCF27283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4480</TotalTime>
  <Pages>5</Pages>
  <Words>1932</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139</cp:revision>
  <cp:lastPrinted>2010-08-13T21:54:00Z</cp:lastPrinted>
  <dcterms:created xsi:type="dcterms:W3CDTF">2017-12-19T08:06:00Z</dcterms:created>
  <dcterms:modified xsi:type="dcterms:W3CDTF">2019-01-12T01:10:00Z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12fe8176-0b6f-471d-962e-0c5aa97d1202</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